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819F" w14:textId="4971F08B" w:rsidR="00421A5E" w:rsidRDefault="00E2319D" w:rsidP="00E2319D">
      <w:pPr>
        <w:pStyle w:val="Heading1NoNumb"/>
      </w:pPr>
      <w:r>
        <w:t>Person specification:</w:t>
      </w:r>
      <w:r>
        <w:br/>
      </w:r>
      <w:r w:rsidRPr="00E2319D">
        <w:t>Internal communications and engagement manager</w:t>
      </w:r>
    </w:p>
    <w:p w14:paraId="3325EA40" w14:textId="565F638D" w:rsidR="00E2319D" w:rsidRPr="00E2319D" w:rsidRDefault="00E2319D" w:rsidP="00E2319D">
      <w:r>
        <w:t>R0-1 10 January 2022</w:t>
      </w:r>
    </w:p>
    <w:p w14:paraId="0832B5AB" w14:textId="26340172" w:rsidR="00E2319D" w:rsidRDefault="00E2319D" w:rsidP="00E2319D">
      <w:pPr>
        <w:pStyle w:val="Heading2NoNumb"/>
      </w:pPr>
      <w:r w:rsidRPr="00E2319D">
        <w:t>Educ</w:t>
      </w:r>
      <w:r>
        <w:t>a</w:t>
      </w:r>
      <w:r w:rsidRPr="00E2319D">
        <w:t>tion and experi</w:t>
      </w:r>
      <w:r>
        <w:t>ence</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4FACCFB9" w14:textId="4AC8FF49" w:rsidTr="00632D34">
        <w:tblPrEx>
          <w:tblCellMar>
            <w:top w:w="0" w:type="dxa"/>
            <w:bottom w:w="0" w:type="dxa"/>
          </w:tblCellMar>
        </w:tblPrEx>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529955B2" w14:textId="41849A09" w:rsidR="00632D34" w:rsidRPr="00632D34" w:rsidRDefault="00632D34" w:rsidP="00632D34">
            <w:pPr>
              <w:pStyle w:val="TableHeadingLeft"/>
            </w:pPr>
            <w:r w:rsidRPr="00632D34">
              <w:t>Essential</w:t>
            </w: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5F79688D" w14:textId="569E0D62" w:rsidR="00632D34" w:rsidRPr="00632D34" w:rsidRDefault="00632D34" w:rsidP="00632D34">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F66DE3" w14:textId="52FDA6FD" w:rsidR="00632D34" w:rsidRPr="00632D34" w:rsidRDefault="00632D34" w:rsidP="00632D34">
            <w:pPr>
              <w:pStyle w:val="TableHeadingLeft"/>
            </w:pPr>
            <w:r>
              <w:t>Desirable</w:t>
            </w:r>
          </w:p>
        </w:tc>
      </w:tr>
      <w:tr w:rsidR="00632D34" w:rsidRPr="00632D34" w14:paraId="10827D2F" w14:textId="57E25330" w:rsidTr="00632D34">
        <w:tblPrEx>
          <w:tblCellMar>
            <w:top w:w="0" w:type="dxa"/>
            <w:bottom w:w="0" w:type="dxa"/>
          </w:tblCellMar>
        </w:tblPrEx>
        <w:trPr>
          <w:cantSplit/>
        </w:trPr>
        <w:tc>
          <w:tcPr>
            <w:tcW w:w="6658" w:type="dxa"/>
            <w:tcBorders>
              <w:top w:val="single" w:sz="4" w:space="0" w:color="5E9CAE" w:themeColor="accent1"/>
            </w:tcBorders>
            <w:shd w:val="clear" w:color="000000" w:fill="FFFFFF" w:themeFill="background1"/>
          </w:tcPr>
          <w:p w14:paraId="33A9D8A1" w14:textId="5B9E951A" w:rsidR="00632D34" w:rsidRPr="00632D34" w:rsidRDefault="00632D34" w:rsidP="00632D34">
            <w:pPr>
              <w:pStyle w:val="TableText"/>
            </w:pPr>
            <w:r w:rsidRPr="00632D34">
              <w:t>Degree in a relevant field (eg communications, marketing, public relations, media, journalism) or equivalent</w:t>
            </w:r>
          </w:p>
        </w:tc>
        <w:tc>
          <w:tcPr>
            <w:tcW w:w="1417" w:type="dxa"/>
            <w:tcBorders>
              <w:top w:val="single" w:sz="4" w:space="0" w:color="5E9CAE" w:themeColor="accent1"/>
            </w:tcBorders>
            <w:shd w:val="clear" w:color="000000" w:fill="FFFFFF" w:themeFill="background1"/>
          </w:tcPr>
          <w:p w14:paraId="15E86BF6" w14:textId="1151C352" w:rsidR="00632D34" w:rsidRPr="00632D34" w:rsidRDefault="00632D34" w:rsidP="00632D34">
            <w:pPr>
              <w:pStyle w:val="TableText"/>
              <w:jc w:val="center"/>
            </w:pPr>
            <w:r>
              <w:t>X</w:t>
            </w:r>
          </w:p>
        </w:tc>
        <w:tc>
          <w:tcPr>
            <w:tcW w:w="1563" w:type="dxa"/>
            <w:tcBorders>
              <w:top w:val="single" w:sz="4" w:space="0" w:color="5E9CAE" w:themeColor="accent1"/>
            </w:tcBorders>
            <w:shd w:val="clear" w:color="000000" w:fill="FFFFFF" w:themeFill="background1"/>
          </w:tcPr>
          <w:p w14:paraId="209E3B58" w14:textId="77777777" w:rsidR="00632D34" w:rsidRPr="00632D34" w:rsidRDefault="00632D34" w:rsidP="00632D34">
            <w:pPr>
              <w:pStyle w:val="TableText"/>
              <w:jc w:val="center"/>
            </w:pPr>
          </w:p>
        </w:tc>
      </w:tr>
      <w:tr w:rsidR="00632D34" w:rsidRPr="00632D34" w14:paraId="2A31EEFD" w14:textId="71576FD0" w:rsidTr="00632D34">
        <w:tblPrEx>
          <w:tblCellMar>
            <w:top w:w="0" w:type="dxa"/>
            <w:bottom w:w="0" w:type="dxa"/>
          </w:tblCellMar>
        </w:tblPrEx>
        <w:trPr>
          <w:cantSplit/>
        </w:trPr>
        <w:tc>
          <w:tcPr>
            <w:tcW w:w="6658" w:type="dxa"/>
            <w:shd w:val="clear" w:color="000000" w:fill="FFFFFF" w:themeFill="background1"/>
          </w:tcPr>
          <w:p w14:paraId="79092C1E" w14:textId="2B619C07" w:rsidR="00632D34" w:rsidRPr="00632D34" w:rsidRDefault="00632D34" w:rsidP="00632D34">
            <w:pPr>
              <w:pStyle w:val="TableText"/>
            </w:pPr>
            <w:r w:rsidRPr="00632D34">
              <w:t xml:space="preserve">Professional qualification </w:t>
            </w:r>
            <w:r w:rsidR="00ED62F1">
              <w:t xml:space="preserve">and/or membership </w:t>
            </w:r>
            <w:r w:rsidRPr="00632D34">
              <w:t xml:space="preserve">eg. </w:t>
            </w:r>
            <w:r>
              <w:t xml:space="preserve">CIM, </w:t>
            </w:r>
            <w:r w:rsidR="00ED62F1">
              <w:t>IoI</w:t>
            </w:r>
            <w:r w:rsidRPr="00632D34">
              <w:t>C</w:t>
            </w:r>
            <w:r w:rsidR="00ED62F1">
              <w:t>, CIPR</w:t>
            </w:r>
            <w:r w:rsidRPr="00632D34">
              <w:t xml:space="preserve"> or equivalent gained through professional experience. </w:t>
            </w:r>
          </w:p>
        </w:tc>
        <w:tc>
          <w:tcPr>
            <w:tcW w:w="1417" w:type="dxa"/>
            <w:shd w:val="clear" w:color="000000" w:fill="FFFFFF" w:themeFill="background1"/>
          </w:tcPr>
          <w:p w14:paraId="6FEE7601" w14:textId="7FB6090E" w:rsidR="00632D34" w:rsidRPr="00632D34" w:rsidRDefault="00632D34" w:rsidP="00632D34">
            <w:pPr>
              <w:pStyle w:val="TableText"/>
              <w:jc w:val="center"/>
            </w:pPr>
            <w:r>
              <w:t>X</w:t>
            </w:r>
          </w:p>
        </w:tc>
        <w:tc>
          <w:tcPr>
            <w:tcW w:w="1563" w:type="dxa"/>
            <w:shd w:val="clear" w:color="000000" w:fill="FFFFFF" w:themeFill="background1"/>
          </w:tcPr>
          <w:p w14:paraId="42697E64" w14:textId="77777777" w:rsidR="00632D34" w:rsidRPr="00632D34" w:rsidRDefault="00632D34" w:rsidP="00632D34">
            <w:pPr>
              <w:pStyle w:val="TableText"/>
              <w:jc w:val="center"/>
            </w:pPr>
          </w:p>
        </w:tc>
      </w:tr>
      <w:tr w:rsidR="00632D34" w:rsidRPr="00632D34" w14:paraId="04A7C9EE" w14:textId="642297AB" w:rsidTr="00632D34">
        <w:tblPrEx>
          <w:tblCellMar>
            <w:top w:w="0" w:type="dxa"/>
            <w:bottom w:w="0" w:type="dxa"/>
          </w:tblCellMar>
        </w:tblPrEx>
        <w:trPr>
          <w:cantSplit/>
        </w:trPr>
        <w:tc>
          <w:tcPr>
            <w:tcW w:w="6658" w:type="dxa"/>
            <w:shd w:val="clear" w:color="000000" w:fill="FFFFFF" w:themeFill="background1"/>
          </w:tcPr>
          <w:p w14:paraId="58AA25AB" w14:textId="0FB4554A" w:rsidR="00632D34" w:rsidRPr="00632D34" w:rsidRDefault="00ED62F1" w:rsidP="00632D34">
            <w:pPr>
              <w:pStyle w:val="TableText"/>
            </w:pPr>
            <w:r>
              <w:t>Experience and evidence</w:t>
            </w:r>
            <w:r w:rsidR="00632D34" w:rsidRPr="00632D34">
              <w:t xml:space="preserve"> </w:t>
            </w:r>
            <w:r w:rsidR="001C4857">
              <w:t>of develop</w:t>
            </w:r>
            <w:r w:rsidR="00CD2AD6">
              <w:t>ing</w:t>
            </w:r>
            <w:r w:rsidR="001C4857">
              <w:t xml:space="preserve"> internal communication and engagement strategies that deliver company objectives. </w:t>
            </w:r>
          </w:p>
        </w:tc>
        <w:tc>
          <w:tcPr>
            <w:tcW w:w="1417" w:type="dxa"/>
            <w:shd w:val="clear" w:color="000000" w:fill="FFFFFF" w:themeFill="background1"/>
          </w:tcPr>
          <w:p w14:paraId="1273EF16" w14:textId="0D560F54" w:rsidR="00632D34" w:rsidRPr="00632D34" w:rsidRDefault="00632D34" w:rsidP="00632D34">
            <w:pPr>
              <w:pStyle w:val="TableText"/>
              <w:jc w:val="center"/>
            </w:pPr>
            <w:r>
              <w:t>X</w:t>
            </w:r>
          </w:p>
        </w:tc>
        <w:tc>
          <w:tcPr>
            <w:tcW w:w="1563" w:type="dxa"/>
            <w:shd w:val="clear" w:color="000000" w:fill="FFFFFF" w:themeFill="background1"/>
          </w:tcPr>
          <w:p w14:paraId="1E21770E" w14:textId="77777777" w:rsidR="00632D34" w:rsidRPr="00632D34" w:rsidRDefault="00632D34" w:rsidP="00632D34">
            <w:pPr>
              <w:pStyle w:val="TableText"/>
              <w:jc w:val="center"/>
            </w:pPr>
          </w:p>
        </w:tc>
      </w:tr>
      <w:tr w:rsidR="00632D34" w:rsidRPr="00632D34" w14:paraId="2ACE60D5" w14:textId="04E11833" w:rsidTr="00632D34">
        <w:tblPrEx>
          <w:tblCellMar>
            <w:top w:w="0" w:type="dxa"/>
            <w:bottom w:w="0" w:type="dxa"/>
          </w:tblCellMar>
        </w:tblPrEx>
        <w:trPr>
          <w:cantSplit/>
        </w:trPr>
        <w:tc>
          <w:tcPr>
            <w:tcW w:w="6658" w:type="dxa"/>
            <w:shd w:val="clear" w:color="000000" w:fill="FFFFFF" w:themeFill="background1"/>
          </w:tcPr>
          <w:p w14:paraId="33FA6603" w14:textId="7E25F1B9" w:rsidR="00632D34" w:rsidRPr="00632D34" w:rsidRDefault="001C4857" w:rsidP="00632D34">
            <w:pPr>
              <w:pStyle w:val="TableText"/>
            </w:pPr>
            <w:r>
              <w:t xml:space="preserve">Experience and evidence of planning, implementing and evaluating international communications plans that facilitate engagement and cultural change. </w:t>
            </w:r>
          </w:p>
        </w:tc>
        <w:tc>
          <w:tcPr>
            <w:tcW w:w="1417" w:type="dxa"/>
            <w:shd w:val="clear" w:color="000000" w:fill="FFFFFF" w:themeFill="background1"/>
          </w:tcPr>
          <w:p w14:paraId="28283D8F" w14:textId="3B453E66" w:rsidR="00632D34" w:rsidRPr="00632D34" w:rsidRDefault="00632D34" w:rsidP="00632D34">
            <w:pPr>
              <w:pStyle w:val="TableText"/>
              <w:jc w:val="center"/>
            </w:pPr>
            <w:r>
              <w:t>X</w:t>
            </w:r>
          </w:p>
        </w:tc>
        <w:tc>
          <w:tcPr>
            <w:tcW w:w="1563" w:type="dxa"/>
            <w:shd w:val="clear" w:color="000000" w:fill="FFFFFF" w:themeFill="background1"/>
          </w:tcPr>
          <w:p w14:paraId="4A6A1446" w14:textId="77777777" w:rsidR="00632D34" w:rsidRPr="00632D34" w:rsidRDefault="00632D34" w:rsidP="00632D34">
            <w:pPr>
              <w:pStyle w:val="TableText"/>
              <w:jc w:val="center"/>
            </w:pPr>
          </w:p>
        </w:tc>
      </w:tr>
      <w:tr w:rsidR="00632D34" w:rsidRPr="00632D34" w14:paraId="6DDCD134" w14:textId="77777777" w:rsidTr="00632D34">
        <w:tblPrEx>
          <w:tblCellMar>
            <w:top w:w="0" w:type="dxa"/>
            <w:bottom w:w="0" w:type="dxa"/>
          </w:tblCellMar>
        </w:tblPrEx>
        <w:trPr>
          <w:cantSplit/>
        </w:trPr>
        <w:tc>
          <w:tcPr>
            <w:tcW w:w="6658" w:type="dxa"/>
            <w:shd w:val="clear" w:color="000000" w:fill="FFFFFF" w:themeFill="background1"/>
          </w:tcPr>
          <w:p w14:paraId="091E5994" w14:textId="1ECBDF79" w:rsidR="00632D34" w:rsidRPr="00632D34" w:rsidRDefault="00632D34" w:rsidP="00632D34">
            <w:pPr>
              <w:pStyle w:val="TableText"/>
            </w:pPr>
            <w:r w:rsidRPr="00632D34">
              <w:t>Experience of using</w:t>
            </w:r>
            <w:r w:rsidR="003A0808">
              <w:t xml:space="preserve"> digital platforms including</w:t>
            </w:r>
            <w:r w:rsidRPr="00632D34">
              <w:t xml:space="preserve"> content management </w:t>
            </w:r>
            <w:r>
              <w:t xml:space="preserve"> systems</w:t>
            </w:r>
          </w:p>
        </w:tc>
        <w:tc>
          <w:tcPr>
            <w:tcW w:w="1417" w:type="dxa"/>
            <w:shd w:val="clear" w:color="000000" w:fill="FFFFFF" w:themeFill="background1"/>
          </w:tcPr>
          <w:p w14:paraId="6C5F326B" w14:textId="77777777" w:rsidR="00632D34" w:rsidRPr="00632D34" w:rsidRDefault="00632D34" w:rsidP="00632D34">
            <w:pPr>
              <w:pStyle w:val="TableText"/>
              <w:jc w:val="center"/>
            </w:pPr>
          </w:p>
        </w:tc>
        <w:tc>
          <w:tcPr>
            <w:tcW w:w="1563" w:type="dxa"/>
            <w:shd w:val="clear" w:color="000000" w:fill="FFFFFF" w:themeFill="background1"/>
          </w:tcPr>
          <w:p w14:paraId="1B1E20CB" w14:textId="2BACCE88" w:rsidR="00632D34" w:rsidRPr="00632D34" w:rsidRDefault="00632D34" w:rsidP="00632D34">
            <w:pPr>
              <w:pStyle w:val="TableText"/>
              <w:jc w:val="center"/>
            </w:pPr>
            <w:r>
              <w:t>X</w:t>
            </w:r>
          </w:p>
        </w:tc>
      </w:tr>
      <w:tr w:rsidR="00632D34" w:rsidRPr="00632D34" w14:paraId="34035D87" w14:textId="77777777" w:rsidTr="00632D34">
        <w:tblPrEx>
          <w:tblCellMar>
            <w:top w:w="0" w:type="dxa"/>
            <w:bottom w:w="0" w:type="dxa"/>
          </w:tblCellMar>
        </w:tblPrEx>
        <w:trPr>
          <w:cantSplit/>
        </w:trPr>
        <w:tc>
          <w:tcPr>
            <w:tcW w:w="6658" w:type="dxa"/>
            <w:shd w:val="clear" w:color="000000" w:fill="FFFFFF" w:themeFill="background1"/>
          </w:tcPr>
          <w:p w14:paraId="7779F8AA" w14:textId="58182EA8" w:rsidR="00632D34" w:rsidRPr="00632D34" w:rsidRDefault="00632D34" w:rsidP="00632D34">
            <w:pPr>
              <w:pStyle w:val="TableText"/>
            </w:pPr>
            <w:r w:rsidRPr="00632D34">
              <w:t>Experience of tools and systems for benchmarking and driving staff engagement levels</w:t>
            </w:r>
          </w:p>
        </w:tc>
        <w:tc>
          <w:tcPr>
            <w:tcW w:w="1417" w:type="dxa"/>
            <w:shd w:val="clear" w:color="000000" w:fill="FFFFFF" w:themeFill="background1"/>
          </w:tcPr>
          <w:p w14:paraId="1D457D0F" w14:textId="77777777" w:rsidR="00632D34" w:rsidRPr="00632D34" w:rsidRDefault="00632D34" w:rsidP="00632D34">
            <w:pPr>
              <w:pStyle w:val="TableText"/>
              <w:jc w:val="center"/>
            </w:pPr>
          </w:p>
        </w:tc>
        <w:tc>
          <w:tcPr>
            <w:tcW w:w="1563" w:type="dxa"/>
            <w:shd w:val="clear" w:color="000000" w:fill="FFFFFF" w:themeFill="background1"/>
          </w:tcPr>
          <w:p w14:paraId="0DDB6020" w14:textId="7FF89987" w:rsidR="00632D34" w:rsidRPr="00632D34" w:rsidRDefault="00632D34" w:rsidP="00632D34">
            <w:pPr>
              <w:pStyle w:val="TableText"/>
              <w:jc w:val="center"/>
            </w:pPr>
            <w:r>
              <w:t>X</w:t>
            </w:r>
          </w:p>
        </w:tc>
      </w:tr>
      <w:tr w:rsidR="001C4857" w:rsidRPr="00632D34" w14:paraId="196F6320" w14:textId="77777777" w:rsidTr="00632D34">
        <w:tblPrEx>
          <w:tblCellMar>
            <w:top w:w="0" w:type="dxa"/>
            <w:bottom w:w="0" w:type="dxa"/>
          </w:tblCellMar>
        </w:tblPrEx>
        <w:trPr>
          <w:cantSplit/>
        </w:trPr>
        <w:tc>
          <w:tcPr>
            <w:tcW w:w="6658" w:type="dxa"/>
            <w:shd w:val="clear" w:color="000000" w:fill="FFFFFF" w:themeFill="background1"/>
          </w:tcPr>
          <w:p w14:paraId="49B2CB68" w14:textId="71DBFB10" w:rsidR="001C4857" w:rsidRDefault="001C4857" w:rsidP="00632D34">
            <w:pPr>
              <w:pStyle w:val="TableText"/>
            </w:pPr>
            <w:r>
              <w:t xml:space="preserve">Excellent written communication skills to ensure content, messaging and tone are consistent with brand voice. </w:t>
            </w:r>
          </w:p>
        </w:tc>
        <w:tc>
          <w:tcPr>
            <w:tcW w:w="1417" w:type="dxa"/>
            <w:shd w:val="clear" w:color="000000" w:fill="FFFFFF" w:themeFill="background1"/>
          </w:tcPr>
          <w:p w14:paraId="6B32368F" w14:textId="77C7C937" w:rsidR="001C4857" w:rsidRDefault="00CD2AD6" w:rsidP="00632D34">
            <w:pPr>
              <w:pStyle w:val="TableText"/>
              <w:jc w:val="center"/>
            </w:pPr>
            <w:r>
              <w:t>X</w:t>
            </w:r>
          </w:p>
        </w:tc>
        <w:tc>
          <w:tcPr>
            <w:tcW w:w="1563" w:type="dxa"/>
            <w:shd w:val="clear" w:color="000000" w:fill="FFFFFF" w:themeFill="background1"/>
          </w:tcPr>
          <w:p w14:paraId="00640DBB" w14:textId="77777777" w:rsidR="001C4857" w:rsidRDefault="001C4857" w:rsidP="00632D34">
            <w:pPr>
              <w:pStyle w:val="TableText"/>
              <w:jc w:val="center"/>
            </w:pPr>
          </w:p>
        </w:tc>
      </w:tr>
      <w:tr w:rsidR="001C4857" w:rsidRPr="00632D34" w14:paraId="73F9249A" w14:textId="77777777" w:rsidTr="00632D34">
        <w:tblPrEx>
          <w:tblCellMar>
            <w:top w:w="0" w:type="dxa"/>
            <w:bottom w:w="0" w:type="dxa"/>
          </w:tblCellMar>
        </w:tblPrEx>
        <w:trPr>
          <w:cantSplit/>
        </w:trPr>
        <w:tc>
          <w:tcPr>
            <w:tcW w:w="6658" w:type="dxa"/>
            <w:shd w:val="clear" w:color="000000" w:fill="FFFFFF" w:themeFill="background1"/>
          </w:tcPr>
          <w:p w14:paraId="1A2F9BF8" w14:textId="1158FA3A" w:rsidR="001C4857" w:rsidRDefault="001C4857" w:rsidP="00632D34">
            <w:pPr>
              <w:pStyle w:val="TableText"/>
            </w:pPr>
            <w:r>
              <w:t xml:space="preserve">Experience </w:t>
            </w:r>
            <w:r w:rsidR="00E749D7">
              <w:t xml:space="preserve">of </w:t>
            </w:r>
            <w:r>
              <w:t>internal communications</w:t>
            </w:r>
            <w:r w:rsidR="00E749D7">
              <w:t>, preferably gained in a small/medium sized organisation undergoing change</w:t>
            </w:r>
          </w:p>
        </w:tc>
        <w:tc>
          <w:tcPr>
            <w:tcW w:w="1417" w:type="dxa"/>
            <w:shd w:val="clear" w:color="000000" w:fill="FFFFFF" w:themeFill="background1"/>
          </w:tcPr>
          <w:p w14:paraId="2F7F356A" w14:textId="544BBC63" w:rsidR="001C4857" w:rsidRDefault="00CD2AD6" w:rsidP="00632D34">
            <w:pPr>
              <w:pStyle w:val="TableText"/>
              <w:jc w:val="center"/>
            </w:pPr>
            <w:r>
              <w:t>X</w:t>
            </w:r>
          </w:p>
        </w:tc>
        <w:tc>
          <w:tcPr>
            <w:tcW w:w="1563" w:type="dxa"/>
            <w:shd w:val="clear" w:color="000000" w:fill="FFFFFF" w:themeFill="background1"/>
          </w:tcPr>
          <w:p w14:paraId="3E30DF73" w14:textId="77777777" w:rsidR="001C4857" w:rsidRDefault="001C4857" w:rsidP="00632D34">
            <w:pPr>
              <w:pStyle w:val="TableText"/>
              <w:jc w:val="center"/>
            </w:pPr>
          </w:p>
        </w:tc>
      </w:tr>
      <w:tr w:rsidR="001C4857" w:rsidRPr="00632D34" w14:paraId="03096E9D" w14:textId="77777777" w:rsidTr="00632D34">
        <w:tblPrEx>
          <w:tblCellMar>
            <w:top w:w="0" w:type="dxa"/>
            <w:bottom w:w="0" w:type="dxa"/>
          </w:tblCellMar>
        </w:tblPrEx>
        <w:trPr>
          <w:cantSplit/>
        </w:trPr>
        <w:tc>
          <w:tcPr>
            <w:tcW w:w="6658" w:type="dxa"/>
            <w:shd w:val="clear" w:color="000000" w:fill="FFFFFF" w:themeFill="background1"/>
          </w:tcPr>
          <w:p w14:paraId="0A646AF7" w14:textId="67DF52B9" w:rsidR="001C4857" w:rsidRDefault="001C4857" w:rsidP="00632D34">
            <w:pPr>
              <w:pStyle w:val="TableText"/>
            </w:pPr>
            <w:r>
              <w:t xml:space="preserve">Experience </w:t>
            </w:r>
            <w:r w:rsidR="00E749D7">
              <w:t>of</w:t>
            </w:r>
            <w:r>
              <w:t xml:space="preserve"> internal communications </w:t>
            </w:r>
            <w:r w:rsidR="00E749D7">
              <w:t xml:space="preserve">in a </w:t>
            </w:r>
            <w:r w:rsidR="00CD2AD6">
              <w:t>innovation</w:t>
            </w:r>
            <w:r w:rsidR="00E749D7">
              <w:t>-led or scientific/engineering focussed business.</w:t>
            </w:r>
          </w:p>
        </w:tc>
        <w:tc>
          <w:tcPr>
            <w:tcW w:w="1417" w:type="dxa"/>
            <w:shd w:val="clear" w:color="000000" w:fill="FFFFFF" w:themeFill="background1"/>
          </w:tcPr>
          <w:p w14:paraId="49683503" w14:textId="77777777" w:rsidR="001C4857" w:rsidRDefault="001C4857" w:rsidP="00632D34">
            <w:pPr>
              <w:pStyle w:val="TableText"/>
              <w:jc w:val="center"/>
            </w:pPr>
          </w:p>
        </w:tc>
        <w:tc>
          <w:tcPr>
            <w:tcW w:w="1563" w:type="dxa"/>
            <w:shd w:val="clear" w:color="000000" w:fill="FFFFFF" w:themeFill="background1"/>
          </w:tcPr>
          <w:p w14:paraId="3DC67F2B" w14:textId="0F0E6972" w:rsidR="001C4857" w:rsidRDefault="00CD2AD6" w:rsidP="00632D34">
            <w:pPr>
              <w:pStyle w:val="TableText"/>
              <w:jc w:val="center"/>
            </w:pPr>
            <w:r>
              <w:t>X</w:t>
            </w:r>
          </w:p>
        </w:tc>
      </w:tr>
    </w:tbl>
    <w:p w14:paraId="18C57E81" w14:textId="7FB85EDC" w:rsidR="00632D34" w:rsidRDefault="00632D34" w:rsidP="00632D34">
      <w:pPr>
        <w:pStyle w:val="Heading2NoNumb"/>
      </w:pPr>
      <w:r>
        <w:t>Personal characteristics</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1026379E" w14:textId="77777777" w:rsidTr="00A90BC9">
        <w:tblPrEx>
          <w:tblCellMar>
            <w:top w:w="0" w:type="dxa"/>
            <w:bottom w:w="0" w:type="dxa"/>
          </w:tblCellMar>
        </w:tblPrEx>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6B92D2E8" w14:textId="77777777" w:rsidR="00632D34" w:rsidRPr="00632D34" w:rsidRDefault="00632D34" w:rsidP="00A90BC9">
            <w:pPr>
              <w:pStyle w:val="TableHeadingLeft"/>
            </w:pPr>
            <w:r w:rsidRPr="00632D34">
              <w:t>Essential</w:t>
            </w: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7AB20963" w14:textId="77777777" w:rsidR="00632D34" w:rsidRPr="00632D34" w:rsidRDefault="00632D34" w:rsidP="00A90BC9">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1F0597" w14:textId="77777777" w:rsidR="00632D34" w:rsidRPr="00632D34" w:rsidRDefault="00632D34" w:rsidP="00A90BC9">
            <w:pPr>
              <w:pStyle w:val="TableHeadingLeft"/>
            </w:pPr>
            <w:r>
              <w:t>Desirable</w:t>
            </w:r>
          </w:p>
        </w:tc>
      </w:tr>
      <w:tr w:rsidR="00632D34" w:rsidRPr="00632D34" w14:paraId="46EB4221" w14:textId="77777777" w:rsidTr="00A90BC9">
        <w:tblPrEx>
          <w:tblCellMar>
            <w:top w:w="0" w:type="dxa"/>
            <w:bottom w:w="0" w:type="dxa"/>
          </w:tblCellMar>
        </w:tblPrEx>
        <w:trPr>
          <w:cantSplit/>
        </w:trPr>
        <w:tc>
          <w:tcPr>
            <w:tcW w:w="6658" w:type="dxa"/>
            <w:tcBorders>
              <w:top w:val="single" w:sz="4" w:space="0" w:color="5E9CAE" w:themeColor="accent1"/>
            </w:tcBorders>
            <w:shd w:val="clear" w:color="000000" w:fill="FFFFFF" w:themeFill="background1"/>
          </w:tcPr>
          <w:p w14:paraId="25305FFF" w14:textId="4B107154" w:rsidR="00632D34" w:rsidRPr="00632D34" w:rsidRDefault="00E749D7" w:rsidP="00A90BC9">
            <w:pPr>
              <w:pStyle w:val="TableText"/>
            </w:pPr>
            <w:r>
              <w:t>Ability to build</w:t>
            </w:r>
            <w:r>
              <w:t xml:space="preserve"> effective and collaborative relationships with a diverse range of people at all levels of an organisation</w:t>
            </w:r>
          </w:p>
        </w:tc>
        <w:tc>
          <w:tcPr>
            <w:tcW w:w="1417" w:type="dxa"/>
            <w:tcBorders>
              <w:top w:val="single" w:sz="4" w:space="0" w:color="5E9CAE" w:themeColor="accent1"/>
            </w:tcBorders>
            <w:shd w:val="clear" w:color="000000" w:fill="FFFFFF" w:themeFill="background1"/>
          </w:tcPr>
          <w:p w14:paraId="4BDF8AEF" w14:textId="050EFB2B" w:rsidR="00632D34" w:rsidRPr="00632D34" w:rsidRDefault="00CD2AD6" w:rsidP="00A90BC9">
            <w:pPr>
              <w:pStyle w:val="TableText"/>
              <w:jc w:val="center"/>
            </w:pPr>
            <w:r>
              <w:t>X</w:t>
            </w:r>
          </w:p>
        </w:tc>
        <w:tc>
          <w:tcPr>
            <w:tcW w:w="1563" w:type="dxa"/>
            <w:tcBorders>
              <w:top w:val="single" w:sz="4" w:space="0" w:color="5E9CAE" w:themeColor="accent1"/>
            </w:tcBorders>
            <w:shd w:val="clear" w:color="000000" w:fill="FFFFFF" w:themeFill="background1"/>
          </w:tcPr>
          <w:p w14:paraId="59E1CFBC" w14:textId="77777777" w:rsidR="00632D34" w:rsidRPr="00632D34" w:rsidRDefault="00632D34" w:rsidP="00A90BC9">
            <w:pPr>
              <w:pStyle w:val="TableText"/>
              <w:jc w:val="center"/>
            </w:pPr>
          </w:p>
        </w:tc>
      </w:tr>
      <w:tr w:rsidR="00E749D7" w:rsidRPr="00632D34" w14:paraId="51B2F5AF" w14:textId="77777777" w:rsidTr="00A90BC9">
        <w:tblPrEx>
          <w:tblCellMar>
            <w:top w:w="0" w:type="dxa"/>
            <w:bottom w:w="0" w:type="dxa"/>
          </w:tblCellMar>
        </w:tblPrEx>
        <w:trPr>
          <w:cantSplit/>
        </w:trPr>
        <w:tc>
          <w:tcPr>
            <w:tcW w:w="6658" w:type="dxa"/>
            <w:shd w:val="clear" w:color="000000" w:fill="FFFFFF" w:themeFill="background1"/>
          </w:tcPr>
          <w:p w14:paraId="61840393" w14:textId="2A02E959" w:rsidR="00E749D7" w:rsidRDefault="00E749D7" w:rsidP="00A90BC9">
            <w:pPr>
              <w:pStyle w:val="TableText"/>
            </w:pPr>
            <w:r>
              <w:t xml:space="preserve">Confident and articulate with the </w:t>
            </w:r>
            <w:r>
              <w:t>credibility</w:t>
            </w:r>
            <w:r>
              <w:t xml:space="preserve"> to persuade and influence</w:t>
            </w:r>
          </w:p>
        </w:tc>
        <w:tc>
          <w:tcPr>
            <w:tcW w:w="1417" w:type="dxa"/>
            <w:shd w:val="clear" w:color="000000" w:fill="FFFFFF" w:themeFill="background1"/>
          </w:tcPr>
          <w:p w14:paraId="208A073B" w14:textId="7375B0BA" w:rsidR="00E749D7" w:rsidRDefault="00CD2AD6" w:rsidP="00A90BC9">
            <w:pPr>
              <w:pStyle w:val="TableText"/>
              <w:jc w:val="center"/>
            </w:pPr>
            <w:r>
              <w:t>X</w:t>
            </w:r>
          </w:p>
        </w:tc>
        <w:tc>
          <w:tcPr>
            <w:tcW w:w="1563" w:type="dxa"/>
            <w:shd w:val="clear" w:color="000000" w:fill="FFFFFF" w:themeFill="background1"/>
          </w:tcPr>
          <w:p w14:paraId="6A441A54" w14:textId="77777777" w:rsidR="00E749D7" w:rsidRPr="00632D34" w:rsidRDefault="00E749D7" w:rsidP="00A90BC9">
            <w:pPr>
              <w:pStyle w:val="TableText"/>
              <w:jc w:val="center"/>
            </w:pPr>
          </w:p>
        </w:tc>
      </w:tr>
      <w:tr w:rsidR="00E749D7" w:rsidRPr="00632D34" w14:paraId="0EA1EC1A" w14:textId="77777777" w:rsidTr="00A90BC9">
        <w:tblPrEx>
          <w:tblCellMar>
            <w:top w:w="0" w:type="dxa"/>
            <w:bottom w:w="0" w:type="dxa"/>
          </w:tblCellMar>
        </w:tblPrEx>
        <w:trPr>
          <w:cantSplit/>
        </w:trPr>
        <w:tc>
          <w:tcPr>
            <w:tcW w:w="6658" w:type="dxa"/>
            <w:shd w:val="clear" w:color="000000" w:fill="FFFFFF" w:themeFill="background1"/>
          </w:tcPr>
          <w:p w14:paraId="1B11D3DE" w14:textId="3B85EA14" w:rsidR="00E749D7" w:rsidRDefault="00E749D7" w:rsidP="00A90BC9">
            <w:pPr>
              <w:pStyle w:val="TableText"/>
            </w:pPr>
            <w:r>
              <w:t>Skilled in planning in the short and long term, and managing changing priorities</w:t>
            </w:r>
          </w:p>
        </w:tc>
        <w:tc>
          <w:tcPr>
            <w:tcW w:w="1417" w:type="dxa"/>
            <w:shd w:val="clear" w:color="000000" w:fill="FFFFFF" w:themeFill="background1"/>
          </w:tcPr>
          <w:p w14:paraId="15F9A7F8" w14:textId="156525EA" w:rsidR="00E749D7" w:rsidRDefault="00CD2AD6" w:rsidP="00A90BC9">
            <w:pPr>
              <w:pStyle w:val="TableText"/>
              <w:jc w:val="center"/>
            </w:pPr>
            <w:r>
              <w:t>X</w:t>
            </w:r>
          </w:p>
        </w:tc>
        <w:tc>
          <w:tcPr>
            <w:tcW w:w="1563" w:type="dxa"/>
            <w:shd w:val="clear" w:color="000000" w:fill="FFFFFF" w:themeFill="background1"/>
          </w:tcPr>
          <w:p w14:paraId="25AD910A" w14:textId="77777777" w:rsidR="00E749D7" w:rsidRPr="00632D34" w:rsidRDefault="00E749D7" w:rsidP="00A90BC9">
            <w:pPr>
              <w:pStyle w:val="TableText"/>
              <w:jc w:val="center"/>
            </w:pPr>
          </w:p>
        </w:tc>
      </w:tr>
      <w:tr w:rsidR="00E749D7" w:rsidRPr="00632D34" w14:paraId="114C5A4F" w14:textId="77777777" w:rsidTr="00A90BC9">
        <w:tblPrEx>
          <w:tblCellMar>
            <w:top w:w="0" w:type="dxa"/>
            <w:bottom w:w="0" w:type="dxa"/>
          </w:tblCellMar>
        </w:tblPrEx>
        <w:trPr>
          <w:cantSplit/>
        </w:trPr>
        <w:tc>
          <w:tcPr>
            <w:tcW w:w="6658" w:type="dxa"/>
            <w:shd w:val="clear" w:color="000000" w:fill="FFFFFF" w:themeFill="background1"/>
          </w:tcPr>
          <w:p w14:paraId="0FB4BD89" w14:textId="14D7F555" w:rsidR="00E749D7" w:rsidRDefault="00E749D7" w:rsidP="00E749D7">
            <w:pPr>
              <w:pStyle w:val="TableText"/>
            </w:pPr>
            <w:r>
              <w:t xml:space="preserve">Ability to </w:t>
            </w:r>
            <w:r>
              <w:t xml:space="preserve">work independently, </w:t>
            </w:r>
            <w:r>
              <w:t>take the initiative, find solutions and proactively drive progress</w:t>
            </w:r>
            <w:r>
              <w:t xml:space="preserve">, while working as part of a team. </w:t>
            </w:r>
          </w:p>
        </w:tc>
        <w:tc>
          <w:tcPr>
            <w:tcW w:w="1417" w:type="dxa"/>
            <w:shd w:val="clear" w:color="000000" w:fill="FFFFFF" w:themeFill="background1"/>
          </w:tcPr>
          <w:p w14:paraId="23D7DE1A" w14:textId="21E19CA9" w:rsidR="00E749D7" w:rsidRDefault="00CD2AD6" w:rsidP="00E749D7">
            <w:pPr>
              <w:pStyle w:val="TableText"/>
              <w:jc w:val="center"/>
            </w:pPr>
            <w:r>
              <w:t>X</w:t>
            </w:r>
          </w:p>
        </w:tc>
        <w:tc>
          <w:tcPr>
            <w:tcW w:w="1563" w:type="dxa"/>
            <w:shd w:val="clear" w:color="000000" w:fill="FFFFFF" w:themeFill="background1"/>
          </w:tcPr>
          <w:p w14:paraId="2B70612A" w14:textId="77777777" w:rsidR="00E749D7" w:rsidRPr="00632D34" w:rsidRDefault="00E749D7" w:rsidP="00E749D7">
            <w:pPr>
              <w:pStyle w:val="TableText"/>
              <w:jc w:val="center"/>
            </w:pPr>
          </w:p>
        </w:tc>
      </w:tr>
      <w:tr w:rsidR="00E749D7" w:rsidRPr="00632D34" w14:paraId="439FFD8D" w14:textId="77777777" w:rsidTr="00A90BC9">
        <w:tblPrEx>
          <w:tblCellMar>
            <w:top w:w="0" w:type="dxa"/>
            <w:bottom w:w="0" w:type="dxa"/>
          </w:tblCellMar>
        </w:tblPrEx>
        <w:trPr>
          <w:cantSplit/>
        </w:trPr>
        <w:tc>
          <w:tcPr>
            <w:tcW w:w="6658" w:type="dxa"/>
            <w:shd w:val="clear" w:color="000000" w:fill="FFFFFF" w:themeFill="background1"/>
          </w:tcPr>
          <w:p w14:paraId="4A54B5DE" w14:textId="278BB3C3" w:rsidR="00E749D7" w:rsidRPr="00632D34" w:rsidRDefault="00E749D7" w:rsidP="00E749D7">
            <w:pPr>
              <w:pStyle w:val="TableText"/>
            </w:pPr>
            <w:r>
              <w:t xml:space="preserve">Outstanding communications skills, written and verbal. </w:t>
            </w:r>
          </w:p>
        </w:tc>
        <w:tc>
          <w:tcPr>
            <w:tcW w:w="1417" w:type="dxa"/>
            <w:shd w:val="clear" w:color="000000" w:fill="FFFFFF" w:themeFill="background1"/>
          </w:tcPr>
          <w:p w14:paraId="2ED1E33C" w14:textId="683071F5" w:rsidR="00E749D7" w:rsidRPr="00632D34" w:rsidRDefault="00E749D7" w:rsidP="00E749D7">
            <w:pPr>
              <w:pStyle w:val="TableText"/>
              <w:jc w:val="center"/>
            </w:pPr>
            <w:r>
              <w:t>X</w:t>
            </w:r>
          </w:p>
        </w:tc>
        <w:tc>
          <w:tcPr>
            <w:tcW w:w="1563" w:type="dxa"/>
            <w:shd w:val="clear" w:color="000000" w:fill="FFFFFF" w:themeFill="background1"/>
          </w:tcPr>
          <w:p w14:paraId="4507499E" w14:textId="77777777" w:rsidR="00E749D7" w:rsidRPr="00632D34" w:rsidRDefault="00E749D7" w:rsidP="00E749D7">
            <w:pPr>
              <w:pStyle w:val="TableText"/>
              <w:jc w:val="center"/>
            </w:pPr>
          </w:p>
        </w:tc>
      </w:tr>
      <w:tr w:rsidR="00E749D7" w:rsidRPr="00632D34" w14:paraId="05E8D320" w14:textId="77777777" w:rsidTr="00A90BC9">
        <w:tblPrEx>
          <w:tblCellMar>
            <w:top w:w="0" w:type="dxa"/>
            <w:bottom w:w="0" w:type="dxa"/>
          </w:tblCellMar>
        </w:tblPrEx>
        <w:trPr>
          <w:cantSplit/>
        </w:trPr>
        <w:tc>
          <w:tcPr>
            <w:tcW w:w="6658" w:type="dxa"/>
            <w:shd w:val="clear" w:color="000000" w:fill="FFFFFF" w:themeFill="background1"/>
          </w:tcPr>
          <w:p w14:paraId="6BCEEB2D" w14:textId="3B6DF87F" w:rsidR="00E749D7" w:rsidRPr="00632D34" w:rsidRDefault="00E749D7" w:rsidP="00E749D7">
            <w:pPr>
              <w:pStyle w:val="TableText"/>
            </w:pPr>
            <w:r>
              <w:t>Flair to deliver creative communication solutions</w:t>
            </w:r>
          </w:p>
        </w:tc>
        <w:tc>
          <w:tcPr>
            <w:tcW w:w="1417" w:type="dxa"/>
            <w:shd w:val="clear" w:color="000000" w:fill="FFFFFF" w:themeFill="background1"/>
          </w:tcPr>
          <w:p w14:paraId="7C211F32" w14:textId="578044A8" w:rsidR="00E749D7" w:rsidRPr="00632D34" w:rsidRDefault="00CD2AD6" w:rsidP="00E749D7">
            <w:pPr>
              <w:pStyle w:val="TableText"/>
              <w:jc w:val="center"/>
            </w:pPr>
            <w:r>
              <w:t>X</w:t>
            </w:r>
          </w:p>
        </w:tc>
        <w:tc>
          <w:tcPr>
            <w:tcW w:w="1563" w:type="dxa"/>
            <w:shd w:val="clear" w:color="000000" w:fill="FFFFFF" w:themeFill="background1"/>
          </w:tcPr>
          <w:p w14:paraId="1DB6B920" w14:textId="77777777" w:rsidR="00E749D7" w:rsidRPr="00632D34" w:rsidRDefault="00E749D7" w:rsidP="00E749D7">
            <w:pPr>
              <w:pStyle w:val="TableText"/>
              <w:jc w:val="center"/>
            </w:pPr>
          </w:p>
        </w:tc>
      </w:tr>
      <w:tr w:rsidR="00E749D7" w:rsidRPr="00632D34" w14:paraId="4C2218D7" w14:textId="77777777" w:rsidTr="00A90BC9">
        <w:tblPrEx>
          <w:tblCellMar>
            <w:top w:w="0" w:type="dxa"/>
            <w:bottom w:w="0" w:type="dxa"/>
          </w:tblCellMar>
        </w:tblPrEx>
        <w:trPr>
          <w:cantSplit/>
        </w:trPr>
        <w:tc>
          <w:tcPr>
            <w:tcW w:w="6658" w:type="dxa"/>
            <w:shd w:val="clear" w:color="000000" w:fill="FFFFFF" w:themeFill="background1"/>
          </w:tcPr>
          <w:p w14:paraId="4FF82593" w14:textId="66C4275A" w:rsidR="00E749D7" w:rsidRPr="00632D34" w:rsidRDefault="00E749D7" w:rsidP="00E749D7">
            <w:pPr>
              <w:pStyle w:val="TableText"/>
            </w:pPr>
            <w:r>
              <w:t>Ability to prioritise a demanding workload with multiple deadlines</w:t>
            </w:r>
          </w:p>
        </w:tc>
        <w:tc>
          <w:tcPr>
            <w:tcW w:w="1417" w:type="dxa"/>
            <w:shd w:val="clear" w:color="000000" w:fill="FFFFFF" w:themeFill="background1"/>
          </w:tcPr>
          <w:p w14:paraId="7DC66605" w14:textId="066814BD" w:rsidR="00E749D7" w:rsidRPr="00632D34" w:rsidRDefault="00CD2AD6" w:rsidP="00E749D7">
            <w:pPr>
              <w:pStyle w:val="TableText"/>
              <w:jc w:val="center"/>
            </w:pPr>
            <w:r>
              <w:t>X</w:t>
            </w:r>
          </w:p>
        </w:tc>
        <w:tc>
          <w:tcPr>
            <w:tcW w:w="1563" w:type="dxa"/>
            <w:shd w:val="clear" w:color="000000" w:fill="FFFFFF" w:themeFill="background1"/>
          </w:tcPr>
          <w:p w14:paraId="3F44C40E" w14:textId="77777777" w:rsidR="00E749D7" w:rsidRPr="00632D34" w:rsidRDefault="00E749D7" w:rsidP="00E749D7">
            <w:pPr>
              <w:pStyle w:val="TableText"/>
              <w:jc w:val="center"/>
            </w:pPr>
          </w:p>
        </w:tc>
      </w:tr>
      <w:tr w:rsidR="00E749D7" w:rsidRPr="00632D34" w14:paraId="33E147D1" w14:textId="77777777" w:rsidTr="00A90BC9">
        <w:tblPrEx>
          <w:tblCellMar>
            <w:top w:w="0" w:type="dxa"/>
            <w:bottom w:w="0" w:type="dxa"/>
          </w:tblCellMar>
        </w:tblPrEx>
        <w:trPr>
          <w:cantSplit/>
        </w:trPr>
        <w:tc>
          <w:tcPr>
            <w:tcW w:w="6658" w:type="dxa"/>
            <w:shd w:val="clear" w:color="000000" w:fill="FFFFFF" w:themeFill="background1"/>
          </w:tcPr>
          <w:p w14:paraId="531FBC15" w14:textId="2C0F6236" w:rsidR="00E749D7" w:rsidRPr="00632D34" w:rsidRDefault="00E749D7" w:rsidP="00E749D7">
            <w:pPr>
              <w:pStyle w:val="TableText"/>
            </w:pPr>
            <w:r>
              <w:t>Resilient, highly motivated, with the ability to stay calm under pressure</w:t>
            </w:r>
          </w:p>
        </w:tc>
        <w:tc>
          <w:tcPr>
            <w:tcW w:w="1417" w:type="dxa"/>
            <w:shd w:val="clear" w:color="000000" w:fill="FFFFFF" w:themeFill="background1"/>
          </w:tcPr>
          <w:p w14:paraId="037F5284" w14:textId="06F77155" w:rsidR="00E749D7" w:rsidRPr="00632D34" w:rsidRDefault="00CD2AD6" w:rsidP="00E749D7">
            <w:pPr>
              <w:pStyle w:val="TableText"/>
              <w:jc w:val="center"/>
            </w:pPr>
            <w:r>
              <w:t>X</w:t>
            </w:r>
          </w:p>
        </w:tc>
        <w:tc>
          <w:tcPr>
            <w:tcW w:w="1563" w:type="dxa"/>
            <w:shd w:val="clear" w:color="000000" w:fill="FFFFFF" w:themeFill="background1"/>
          </w:tcPr>
          <w:p w14:paraId="468D401C" w14:textId="6CBC5024" w:rsidR="00E749D7" w:rsidRPr="00632D34" w:rsidRDefault="00E749D7" w:rsidP="00E749D7">
            <w:pPr>
              <w:pStyle w:val="TableText"/>
              <w:jc w:val="center"/>
            </w:pPr>
          </w:p>
        </w:tc>
      </w:tr>
      <w:tr w:rsidR="00E749D7" w:rsidRPr="00632D34" w14:paraId="7789757B" w14:textId="77777777" w:rsidTr="00A90BC9">
        <w:tblPrEx>
          <w:tblCellMar>
            <w:top w:w="0" w:type="dxa"/>
            <w:bottom w:w="0" w:type="dxa"/>
          </w:tblCellMar>
        </w:tblPrEx>
        <w:trPr>
          <w:cantSplit/>
        </w:trPr>
        <w:tc>
          <w:tcPr>
            <w:tcW w:w="6658" w:type="dxa"/>
            <w:shd w:val="clear" w:color="000000" w:fill="FFFFFF" w:themeFill="background1"/>
          </w:tcPr>
          <w:p w14:paraId="648CE801" w14:textId="4A85B8F7" w:rsidR="00E749D7" w:rsidRPr="00632D34" w:rsidRDefault="00E749D7" w:rsidP="00E749D7">
            <w:pPr>
              <w:pStyle w:val="TableText"/>
            </w:pPr>
            <w:r>
              <w:t>High levels of professional pride and attention to detail</w:t>
            </w:r>
          </w:p>
        </w:tc>
        <w:tc>
          <w:tcPr>
            <w:tcW w:w="1417" w:type="dxa"/>
            <w:shd w:val="clear" w:color="000000" w:fill="FFFFFF" w:themeFill="background1"/>
          </w:tcPr>
          <w:p w14:paraId="0CAD485B" w14:textId="56BA7760" w:rsidR="00E749D7" w:rsidRPr="00632D34" w:rsidRDefault="00CD2AD6" w:rsidP="00E749D7">
            <w:pPr>
              <w:pStyle w:val="TableText"/>
              <w:jc w:val="center"/>
            </w:pPr>
            <w:r>
              <w:t>X</w:t>
            </w:r>
          </w:p>
        </w:tc>
        <w:tc>
          <w:tcPr>
            <w:tcW w:w="1563" w:type="dxa"/>
            <w:shd w:val="clear" w:color="000000" w:fill="FFFFFF" w:themeFill="background1"/>
          </w:tcPr>
          <w:p w14:paraId="6EBD844D" w14:textId="7DFEFFBD" w:rsidR="00E749D7" w:rsidRPr="00632D34" w:rsidRDefault="00E749D7" w:rsidP="00E749D7">
            <w:pPr>
              <w:pStyle w:val="TableText"/>
              <w:jc w:val="center"/>
            </w:pPr>
          </w:p>
        </w:tc>
      </w:tr>
      <w:tr w:rsidR="00E749D7" w:rsidRPr="00632D34" w14:paraId="0102B9C4" w14:textId="77777777" w:rsidTr="00A90BC9">
        <w:tblPrEx>
          <w:tblCellMar>
            <w:top w:w="0" w:type="dxa"/>
            <w:bottom w:w="0" w:type="dxa"/>
          </w:tblCellMar>
        </w:tblPrEx>
        <w:trPr>
          <w:cantSplit/>
        </w:trPr>
        <w:tc>
          <w:tcPr>
            <w:tcW w:w="6658" w:type="dxa"/>
            <w:shd w:val="clear" w:color="000000" w:fill="FFFFFF" w:themeFill="background1"/>
          </w:tcPr>
          <w:p w14:paraId="2BA5CC30" w14:textId="654D53FB" w:rsidR="00E749D7" w:rsidRDefault="00E749D7" w:rsidP="00E749D7">
            <w:pPr>
              <w:pStyle w:val="TableText"/>
            </w:pPr>
            <w:r>
              <w:t>Excellent IT skills: Office 365</w:t>
            </w:r>
          </w:p>
        </w:tc>
        <w:tc>
          <w:tcPr>
            <w:tcW w:w="1417" w:type="dxa"/>
            <w:shd w:val="clear" w:color="000000" w:fill="FFFFFF" w:themeFill="background1"/>
          </w:tcPr>
          <w:p w14:paraId="12970C75" w14:textId="640C1F75" w:rsidR="00E749D7" w:rsidRPr="00632D34" w:rsidRDefault="00CD2AD6" w:rsidP="00E749D7">
            <w:pPr>
              <w:pStyle w:val="TableText"/>
              <w:jc w:val="center"/>
            </w:pPr>
            <w:r>
              <w:t>X</w:t>
            </w:r>
          </w:p>
        </w:tc>
        <w:tc>
          <w:tcPr>
            <w:tcW w:w="1563" w:type="dxa"/>
            <w:shd w:val="clear" w:color="000000" w:fill="FFFFFF" w:themeFill="background1"/>
          </w:tcPr>
          <w:p w14:paraId="47C58EC3" w14:textId="77777777" w:rsidR="00E749D7" w:rsidRPr="00632D34" w:rsidRDefault="00E749D7" w:rsidP="00E749D7">
            <w:pPr>
              <w:pStyle w:val="TableText"/>
              <w:jc w:val="center"/>
            </w:pPr>
          </w:p>
        </w:tc>
      </w:tr>
      <w:tr w:rsidR="00E749D7" w:rsidRPr="00632D34" w14:paraId="48020105" w14:textId="77777777" w:rsidTr="00A90BC9">
        <w:tblPrEx>
          <w:tblCellMar>
            <w:top w:w="0" w:type="dxa"/>
            <w:bottom w:w="0" w:type="dxa"/>
          </w:tblCellMar>
        </w:tblPrEx>
        <w:trPr>
          <w:cantSplit/>
        </w:trPr>
        <w:tc>
          <w:tcPr>
            <w:tcW w:w="6658" w:type="dxa"/>
            <w:shd w:val="clear" w:color="000000" w:fill="FFFFFF" w:themeFill="background1"/>
          </w:tcPr>
          <w:p w14:paraId="59456621" w14:textId="448B3582" w:rsidR="00E749D7" w:rsidRDefault="00E749D7" w:rsidP="00E749D7">
            <w:pPr>
              <w:pStyle w:val="TableText"/>
            </w:pPr>
            <w:r>
              <w:t>Experience</w:t>
            </w:r>
            <w:r w:rsidR="00CD2AD6">
              <w:t xml:space="preserve"> of</w:t>
            </w:r>
            <w:r>
              <w:t xml:space="preserve"> creat</w:t>
            </w:r>
            <w:r w:rsidR="00CD2AD6">
              <w:t>iv</w:t>
            </w:r>
            <w:r>
              <w:t>e tool</w:t>
            </w:r>
            <w:r w:rsidR="00CD2AD6">
              <w:t>s, eg</w:t>
            </w:r>
            <w:r>
              <w:t xml:space="preserve"> Adobe Creative Suite, </w:t>
            </w:r>
          </w:p>
        </w:tc>
        <w:tc>
          <w:tcPr>
            <w:tcW w:w="1417" w:type="dxa"/>
            <w:shd w:val="clear" w:color="000000" w:fill="FFFFFF" w:themeFill="background1"/>
          </w:tcPr>
          <w:p w14:paraId="566BE451" w14:textId="77777777" w:rsidR="00E749D7" w:rsidRPr="00632D34" w:rsidRDefault="00E749D7" w:rsidP="00E749D7">
            <w:pPr>
              <w:pStyle w:val="TableText"/>
              <w:jc w:val="center"/>
            </w:pPr>
          </w:p>
        </w:tc>
        <w:tc>
          <w:tcPr>
            <w:tcW w:w="1563" w:type="dxa"/>
            <w:shd w:val="clear" w:color="000000" w:fill="FFFFFF" w:themeFill="background1"/>
          </w:tcPr>
          <w:p w14:paraId="0422D996" w14:textId="04B417CF" w:rsidR="00E749D7" w:rsidRPr="00632D34" w:rsidRDefault="00CD2AD6" w:rsidP="00E749D7">
            <w:pPr>
              <w:pStyle w:val="TableText"/>
              <w:jc w:val="center"/>
            </w:pPr>
            <w:r>
              <w:t>X</w:t>
            </w:r>
          </w:p>
        </w:tc>
      </w:tr>
    </w:tbl>
    <w:p w14:paraId="35CE7FBF" w14:textId="20DCE170" w:rsidR="004B5989" w:rsidRPr="000918EA" w:rsidRDefault="004B5989" w:rsidP="004B5989"/>
    <w:sectPr w:rsidR="004B5989" w:rsidRPr="000918EA" w:rsidSect="00E2319D">
      <w:headerReference w:type="default" r:id="rId8"/>
      <w:footerReference w:type="default" r:id="rId9"/>
      <w:headerReference w:type="first" r:id="rId10"/>
      <w:footerReference w:type="first" r:id="rId11"/>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EA6C" w14:textId="77777777" w:rsidR="00E2319D" w:rsidRDefault="00E2319D" w:rsidP="007147BA">
      <w:pPr>
        <w:spacing w:line="240" w:lineRule="auto"/>
      </w:pPr>
      <w:r>
        <w:separator/>
      </w:r>
    </w:p>
  </w:endnote>
  <w:endnote w:type="continuationSeparator" w:id="0">
    <w:p w14:paraId="47C56B54" w14:textId="77777777" w:rsidR="00E2319D" w:rsidRDefault="00E2319D"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37DF1E82"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CD2AD6">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CD2AD6">
            <w:rPr>
              <w:noProof/>
            </w:rPr>
            <w:instrText>1</w:instrText>
          </w:r>
          <w:r>
            <w:fldChar w:fldCharType="end"/>
          </w:r>
          <w:r>
            <w:instrText xml:space="preserve"> </w:instrText>
          </w:r>
          <w:r>
            <w:fldChar w:fldCharType="begin"/>
          </w:r>
          <w:r>
            <w:instrText xml:space="preserve"> Page </w:instrText>
          </w:r>
          <w:r>
            <w:fldChar w:fldCharType="separate"/>
          </w:r>
          <w:r w:rsidR="00CD2AD6">
            <w:rPr>
              <w:noProof/>
            </w:rPr>
            <w:instrText>1</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CD2AD6">
            <w:rPr>
              <w:noProof/>
            </w:rPr>
            <w:t>1</w:t>
          </w:r>
          <w:r>
            <w:fldChar w:fldCharType="end"/>
          </w: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C7CC" w14:textId="77777777" w:rsidR="00E2319D" w:rsidRDefault="00E2319D" w:rsidP="007147BA">
      <w:pPr>
        <w:spacing w:line="240" w:lineRule="auto"/>
      </w:pPr>
      <w:r>
        <w:separator/>
      </w:r>
    </w:p>
  </w:footnote>
  <w:footnote w:type="continuationSeparator" w:id="0">
    <w:p w14:paraId="052E7AF3" w14:textId="77777777" w:rsidR="00E2319D" w:rsidRDefault="00E2319D"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4C00B5FA" w14:textId="77777777" w:rsidTr="002E6166">
      <w:trPr>
        <w:trHeight w:hRule="exact" w:val="624"/>
      </w:trPr>
      <w:tc>
        <w:tcPr>
          <w:tcW w:w="1985" w:type="dxa"/>
          <w:vMerge w:val="restart"/>
          <w:vAlign w:val="center"/>
        </w:tcPr>
        <w:p w14:paraId="2D90D2E3" w14:textId="77777777" w:rsidR="00755E5E" w:rsidRDefault="00755E5E" w:rsidP="004C3D02">
          <w:pPr>
            <w:pStyle w:val="Header"/>
          </w:pPr>
          <w:r w:rsidRPr="00ED1E0D">
            <w:rPr>
              <w:noProof/>
              <w:lang w:eastAsia="en-GB"/>
            </w:rPr>
            <w:drawing>
              <wp:inline distT="0" distB="0" distL="0" distR="0" wp14:anchorId="58897C9C" wp14:editId="2D7E58F2">
                <wp:extent cx="1257300" cy="409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27F70ED4" w14:textId="77777777" w:rsidR="00755E5E" w:rsidRDefault="00755E5E" w:rsidP="002E6166">
          <w:pPr>
            <w:pStyle w:val="HeaderDocTitle"/>
          </w:pPr>
          <w:r>
            <w:fldChar w:fldCharType="begin"/>
          </w:r>
          <w:r>
            <w:instrText xml:space="preserve"> </w:instrText>
          </w:r>
          <w:r w:rsidRPr="00512029">
            <w:instrText>DOCVARIABLE HdrTextRow1</w:instrText>
          </w:r>
          <w:r>
            <w:instrText xml:space="preserve"> </w:instrText>
          </w:r>
          <w:r>
            <w:fldChar w:fldCharType="separate"/>
          </w:r>
          <w:r w:rsidR="00E2319D">
            <w:t xml:space="preserve"> </w:t>
          </w:r>
          <w:r>
            <w:fldChar w:fldCharType="end"/>
          </w:r>
        </w:p>
      </w:tc>
    </w:tr>
    <w:tr w:rsidR="00755E5E" w14:paraId="65758EEB" w14:textId="77777777" w:rsidTr="002E6166">
      <w:trPr>
        <w:trHeight w:hRule="exact" w:val="340"/>
      </w:trPr>
      <w:tc>
        <w:tcPr>
          <w:tcW w:w="1985" w:type="dxa"/>
          <w:vMerge/>
        </w:tcPr>
        <w:p w14:paraId="5252254A" w14:textId="77777777" w:rsidR="00755E5E" w:rsidRDefault="00755E5E">
          <w:pPr>
            <w:pStyle w:val="Header"/>
          </w:pPr>
        </w:p>
      </w:tc>
      <w:tc>
        <w:tcPr>
          <w:tcW w:w="7654" w:type="dxa"/>
          <w:vAlign w:val="center"/>
        </w:tcPr>
        <w:p w14:paraId="346D702F" w14:textId="77777777" w:rsidR="00755E5E" w:rsidRDefault="00CD2AD6" w:rsidP="002E6166">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9F8B106" w14:textId="77777777" w:rsidR="00755E5E" w:rsidRDefault="0075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CD2AD6" w:rsidP="00A406BC">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1"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2" w15:restartNumberingAfterBreak="0">
    <w:nsid w:val="37B25B08"/>
    <w:multiLevelType w:val="multilevel"/>
    <w:tmpl w:val="CACA1EA6"/>
    <w:numStyleLink w:val="NumbListTableBulletSm"/>
  </w:abstractNum>
  <w:abstractNum w:abstractNumId="23"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D53005"/>
    <w:multiLevelType w:val="multilevel"/>
    <w:tmpl w:val="B5F4C260"/>
    <w:numStyleLink w:val="NumbListTableNumbers"/>
  </w:abstractNum>
  <w:abstractNum w:abstractNumId="25" w15:restartNumberingAfterBreak="0">
    <w:nsid w:val="46AE323C"/>
    <w:multiLevelType w:val="multilevel"/>
    <w:tmpl w:val="B5F4C260"/>
    <w:numStyleLink w:val="NumbListTableNumbers"/>
  </w:abstractNum>
  <w:abstractNum w:abstractNumId="26" w15:restartNumberingAfterBreak="0">
    <w:nsid w:val="46F44A87"/>
    <w:multiLevelType w:val="multilevel"/>
    <w:tmpl w:val="B5F4C260"/>
    <w:numStyleLink w:val="NumbListTableNumbers"/>
  </w:abstractNum>
  <w:abstractNum w:abstractNumId="27"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1F2BE2"/>
    <w:multiLevelType w:val="multilevel"/>
    <w:tmpl w:val="9EA0CF86"/>
    <w:numStyleLink w:val="ListNumbTandC"/>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23"/>
  </w:num>
  <w:num w:numId="5">
    <w:abstractNumId w:val="28"/>
  </w:num>
  <w:num w:numId="6">
    <w:abstractNumId w:val="14"/>
  </w:num>
  <w:num w:numId="7">
    <w:abstractNumId w:val="27"/>
  </w:num>
  <w:num w:numId="8">
    <w:abstractNumId w:val="16"/>
  </w:num>
  <w:num w:numId="9">
    <w:abstractNumId w:val="16"/>
  </w:num>
  <w:num w:numId="10">
    <w:abstractNumId w:val="19"/>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5"/>
  </w:num>
  <w:num w:numId="25">
    <w:abstractNumId w:val="10"/>
  </w:num>
  <w:num w:numId="26">
    <w:abstractNumId w:val="26"/>
  </w:num>
  <w:num w:numId="27">
    <w:abstractNumId w:val="22"/>
  </w:num>
  <w:num w:numId="28">
    <w:abstractNumId w:val="24"/>
  </w:num>
  <w:num w:numId="29">
    <w:abstractNumId w:val="11"/>
  </w:num>
  <w:num w:numId="30">
    <w:abstractNumId w:val="15"/>
  </w:num>
  <w:num w:numId="31">
    <w:abstractNumId w:val="18"/>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11F0"/>
    <w:rsid w:val="000A3AC6"/>
    <w:rsid w:val="000A6DA8"/>
    <w:rsid w:val="000B0D96"/>
    <w:rsid w:val="000B2445"/>
    <w:rsid w:val="000B32A9"/>
    <w:rsid w:val="000B68F5"/>
    <w:rsid w:val="000C2B29"/>
    <w:rsid w:val="000C41FD"/>
    <w:rsid w:val="000C51D3"/>
    <w:rsid w:val="000D23BC"/>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4088"/>
    <w:rsid w:val="001A59B1"/>
    <w:rsid w:val="001A7A42"/>
    <w:rsid w:val="001B2478"/>
    <w:rsid w:val="001B4BCB"/>
    <w:rsid w:val="001B5BF6"/>
    <w:rsid w:val="001C1243"/>
    <w:rsid w:val="001C20E0"/>
    <w:rsid w:val="001C4857"/>
    <w:rsid w:val="001C6CF2"/>
    <w:rsid w:val="001D7349"/>
    <w:rsid w:val="001E1CC3"/>
    <w:rsid w:val="001E266C"/>
    <w:rsid w:val="001E358D"/>
    <w:rsid w:val="001E3E98"/>
    <w:rsid w:val="001E5F39"/>
    <w:rsid w:val="001E5F97"/>
    <w:rsid w:val="001E6036"/>
    <w:rsid w:val="001F034D"/>
    <w:rsid w:val="001F1F38"/>
    <w:rsid w:val="001F31DD"/>
    <w:rsid w:val="001F5334"/>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8C6"/>
    <w:rsid w:val="002C1774"/>
    <w:rsid w:val="002C32A1"/>
    <w:rsid w:val="002C77B8"/>
    <w:rsid w:val="002D260B"/>
    <w:rsid w:val="002D3B5E"/>
    <w:rsid w:val="002D49C4"/>
    <w:rsid w:val="002D726F"/>
    <w:rsid w:val="002E04B2"/>
    <w:rsid w:val="002E04DE"/>
    <w:rsid w:val="002E2477"/>
    <w:rsid w:val="002E27EA"/>
    <w:rsid w:val="002E2DEB"/>
    <w:rsid w:val="002E4676"/>
    <w:rsid w:val="002E6166"/>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5625"/>
    <w:rsid w:val="003B7263"/>
    <w:rsid w:val="003B7312"/>
    <w:rsid w:val="003C2BE8"/>
    <w:rsid w:val="003C4D2E"/>
    <w:rsid w:val="003C5DDB"/>
    <w:rsid w:val="003D2C45"/>
    <w:rsid w:val="003D68B9"/>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62A4C"/>
    <w:rsid w:val="00563738"/>
    <w:rsid w:val="00565152"/>
    <w:rsid w:val="00566245"/>
    <w:rsid w:val="00571912"/>
    <w:rsid w:val="00576550"/>
    <w:rsid w:val="0058012C"/>
    <w:rsid w:val="005836F2"/>
    <w:rsid w:val="00584502"/>
    <w:rsid w:val="00584F45"/>
    <w:rsid w:val="005855DF"/>
    <w:rsid w:val="005927CB"/>
    <w:rsid w:val="005A1737"/>
    <w:rsid w:val="005A318E"/>
    <w:rsid w:val="005A5A8A"/>
    <w:rsid w:val="005B41E9"/>
    <w:rsid w:val="005B4F7C"/>
    <w:rsid w:val="005B614A"/>
    <w:rsid w:val="005B7F8D"/>
    <w:rsid w:val="005C07F7"/>
    <w:rsid w:val="005C3191"/>
    <w:rsid w:val="005C6574"/>
    <w:rsid w:val="005C6588"/>
    <w:rsid w:val="005D3212"/>
    <w:rsid w:val="005D4F75"/>
    <w:rsid w:val="005D66B6"/>
    <w:rsid w:val="005E1607"/>
    <w:rsid w:val="005E24E5"/>
    <w:rsid w:val="005E6983"/>
    <w:rsid w:val="005F6B32"/>
    <w:rsid w:val="005F739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31A5"/>
    <w:rsid w:val="00693329"/>
    <w:rsid w:val="0069396A"/>
    <w:rsid w:val="00695363"/>
    <w:rsid w:val="006A24A9"/>
    <w:rsid w:val="006A4B9F"/>
    <w:rsid w:val="006A5137"/>
    <w:rsid w:val="006A5FED"/>
    <w:rsid w:val="006B1B74"/>
    <w:rsid w:val="006B5783"/>
    <w:rsid w:val="006B66EB"/>
    <w:rsid w:val="006B71BF"/>
    <w:rsid w:val="006C0FC8"/>
    <w:rsid w:val="006C7A9D"/>
    <w:rsid w:val="006C7FE2"/>
    <w:rsid w:val="006D0B1B"/>
    <w:rsid w:val="006D4CD5"/>
    <w:rsid w:val="006E605B"/>
    <w:rsid w:val="006E6A1F"/>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372E8"/>
    <w:rsid w:val="0074066D"/>
    <w:rsid w:val="0074223C"/>
    <w:rsid w:val="00742743"/>
    <w:rsid w:val="00742AA2"/>
    <w:rsid w:val="007441E1"/>
    <w:rsid w:val="00745518"/>
    <w:rsid w:val="00750E90"/>
    <w:rsid w:val="00751440"/>
    <w:rsid w:val="00755E5E"/>
    <w:rsid w:val="00760A3E"/>
    <w:rsid w:val="00762FB9"/>
    <w:rsid w:val="0076489E"/>
    <w:rsid w:val="007742FE"/>
    <w:rsid w:val="00774442"/>
    <w:rsid w:val="00777A36"/>
    <w:rsid w:val="00781C68"/>
    <w:rsid w:val="00785A07"/>
    <w:rsid w:val="00786074"/>
    <w:rsid w:val="00786148"/>
    <w:rsid w:val="007874DB"/>
    <w:rsid w:val="0079241B"/>
    <w:rsid w:val="007A0C03"/>
    <w:rsid w:val="007A5A57"/>
    <w:rsid w:val="007A5D95"/>
    <w:rsid w:val="007A694B"/>
    <w:rsid w:val="007A6EF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5635"/>
    <w:rsid w:val="00875131"/>
    <w:rsid w:val="0087714B"/>
    <w:rsid w:val="00880757"/>
    <w:rsid w:val="00885462"/>
    <w:rsid w:val="00887D08"/>
    <w:rsid w:val="00887E6E"/>
    <w:rsid w:val="00892486"/>
    <w:rsid w:val="0089622C"/>
    <w:rsid w:val="008A21DB"/>
    <w:rsid w:val="008A636E"/>
    <w:rsid w:val="008A7955"/>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67BA"/>
    <w:rsid w:val="00902920"/>
    <w:rsid w:val="00902978"/>
    <w:rsid w:val="0090322B"/>
    <w:rsid w:val="00904EFC"/>
    <w:rsid w:val="00905461"/>
    <w:rsid w:val="009101DD"/>
    <w:rsid w:val="00917850"/>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D2A1D"/>
    <w:rsid w:val="009D4156"/>
    <w:rsid w:val="009D54E1"/>
    <w:rsid w:val="009D7939"/>
    <w:rsid w:val="009E2228"/>
    <w:rsid w:val="009E60C1"/>
    <w:rsid w:val="009F196D"/>
    <w:rsid w:val="009F23A1"/>
    <w:rsid w:val="009F371F"/>
    <w:rsid w:val="009F5669"/>
    <w:rsid w:val="00A04F1C"/>
    <w:rsid w:val="00A138A2"/>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3385"/>
    <w:rsid w:val="00AE4E80"/>
    <w:rsid w:val="00AE5944"/>
    <w:rsid w:val="00AF339A"/>
    <w:rsid w:val="00AF355F"/>
    <w:rsid w:val="00AF5D1A"/>
    <w:rsid w:val="00AF678C"/>
    <w:rsid w:val="00B14943"/>
    <w:rsid w:val="00B15555"/>
    <w:rsid w:val="00B1653B"/>
    <w:rsid w:val="00B270AB"/>
    <w:rsid w:val="00B2744F"/>
    <w:rsid w:val="00B31875"/>
    <w:rsid w:val="00B32B42"/>
    <w:rsid w:val="00B35342"/>
    <w:rsid w:val="00B36A49"/>
    <w:rsid w:val="00B43701"/>
    <w:rsid w:val="00B44406"/>
    <w:rsid w:val="00B44C0F"/>
    <w:rsid w:val="00B44E99"/>
    <w:rsid w:val="00B53469"/>
    <w:rsid w:val="00B549D9"/>
    <w:rsid w:val="00B571A2"/>
    <w:rsid w:val="00B614B3"/>
    <w:rsid w:val="00B638EC"/>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2EAF"/>
    <w:rsid w:val="00D70BF7"/>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488F"/>
    <w:rsid w:val="00E32E96"/>
    <w:rsid w:val="00E3404B"/>
    <w:rsid w:val="00E3476E"/>
    <w:rsid w:val="00E34843"/>
    <w:rsid w:val="00E35FEB"/>
    <w:rsid w:val="00E4288F"/>
    <w:rsid w:val="00E46D0B"/>
    <w:rsid w:val="00E47825"/>
    <w:rsid w:val="00E543D4"/>
    <w:rsid w:val="00E618F6"/>
    <w:rsid w:val="00E749D7"/>
    <w:rsid w:val="00E8612C"/>
    <w:rsid w:val="00EA1A9B"/>
    <w:rsid w:val="00EA4979"/>
    <w:rsid w:val="00EA5CD6"/>
    <w:rsid w:val="00EA642C"/>
    <w:rsid w:val="00EA6A62"/>
    <w:rsid w:val="00EB16F2"/>
    <w:rsid w:val="00EB22D0"/>
    <w:rsid w:val="00EB355F"/>
    <w:rsid w:val="00EB35E0"/>
    <w:rsid w:val="00EB37BC"/>
    <w:rsid w:val="00EC4B6B"/>
    <w:rsid w:val="00EC5E19"/>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5AD3"/>
    <w:rsid w:val="00FC6C6A"/>
    <w:rsid w:val="00FC6DDD"/>
    <w:rsid w:val="00FD1113"/>
    <w:rsid w:val="00FD32C7"/>
    <w:rsid w:val="00FD482C"/>
    <w:rsid w:val="00FD5562"/>
    <w:rsid w:val="00FE110C"/>
    <w:rsid w:val="00FE2039"/>
    <w:rsid w:val="00FE3781"/>
    <w:rsid w:val="00FE47CC"/>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qFormat/>
    <w:rsid w:val="004A5027"/>
    <w:pPr>
      <w:numPr>
        <w:numId w:val="5"/>
      </w:numPr>
      <w:spacing w:before="60" w:after="60"/>
    </w:pPr>
  </w:style>
  <w:style w:type="paragraph" w:customStyle="1" w:styleId="Bullet2">
    <w:name w:val="Bullet 2"/>
    <w:aliases w:val="~Bullet2"/>
    <w:basedOn w:val="Normal"/>
    <w:qFormat/>
    <w:rsid w:val="004A5027"/>
    <w:pPr>
      <w:numPr>
        <w:ilvl w:val="1"/>
        <w:numId w:val="5"/>
      </w:numPr>
      <w:spacing w:before="60" w:after="60"/>
    </w:pPr>
  </w:style>
  <w:style w:type="paragraph" w:customStyle="1" w:styleId="Bullet3">
    <w:name w:val="Bullet 3"/>
    <w:aliases w:val="~Bullet3"/>
    <w:basedOn w:val="Normal"/>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semiHidden/>
    <w:unhideWhenUsed/>
    <w:rsid w:val="004A5027"/>
    <w:pPr>
      <w:spacing w:line="240" w:lineRule="auto"/>
    </w:pPr>
    <w:rPr>
      <w:szCs w:val="20"/>
    </w:rPr>
  </w:style>
  <w:style w:type="character" w:customStyle="1" w:styleId="CommentTextChar">
    <w:name w:val="Comment Text Char"/>
    <w:basedOn w:val="DefaultParagraphFont"/>
    <w:link w:val="CommentText"/>
    <w:uiPriority w:val="99"/>
    <w:semiHidden/>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95</TotalTime>
  <Pages>1</Pages>
  <Words>323</Words>
  <Characters>1748</Characters>
  <Application>Microsoft Office Word</Application>
  <DocSecurity>0</DocSecurity>
  <Lines>134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Jackie Harrop</cp:lastModifiedBy>
  <cp:revision>2</cp:revision>
  <dcterms:created xsi:type="dcterms:W3CDTF">2022-01-10T17:14:00Z</dcterms:created>
  <dcterms:modified xsi:type="dcterms:W3CDTF">2022-01-10T18:57:00Z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