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53C7" w14:textId="77777777" w:rsidR="0028243F" w:rsidRDefault="0028243F" w:rsidP="003855F8">
      <w:pPr>
        <w:pStyle w:val="Heading1"/>
      </w:pPr>
    </w:p>
    <w:p w14:paraId="14ECA907" w14:textId="6450726B" w:rsidR="0028243F" w:rsidRPr="0091413A" w:rsidRDefault="0028243F" w:rsidP="0028243F">
      <w:pPr>
        <w:pStyle w:val="Heading1"/>
        <w:pBdr>
          <w:bottom w:val="single" w:sz="12" w:space="1" w:color="5E9CAE" w:themeColor="accent1"/>
        </w:pBdr>
        <w:jc w:val="right"/>
        <w:rPr>
          <w:rFonts w:ascii="Calibri" w:hAnsi="Calibri" w:cs="Calibri"/>
          <w:b/>
          <w:bCs w:val="0"/>
          <w:color w:val="005172" w:themeColor="accent2"/>
          <w:sz w:val="40"/>
          <w:szCs w:val="40"/>
        </w:rPr>
      </w:pPr>
      <w:r w:rsidRPr="0091413A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>Job Description</w:t>
      </w:r>
    </w:p>
    <w:p w14:paraId="3A7D7BD2" w14:textId="77777777" w:rsidR="0028243F" w:rsidRPr="0091413A" w:rsidRDefault="0028243F" w:rsidP="003855F8">
      <w:pPr>
        <w:pStyle w:val="Heading1"/>
        <w:rPr>
          <w:rFonts w:ascii="Calibri" w:hAnsi="Calibri" w:cs="Calibri"/>
          <w:color w:val="005172" w:themeColor="accent2"/>
        </w:rPr>
      </w:pPr>
    </w:p>
    <w:p w14:paraId="1B2292A0" w14:textId="6243D03E" w:rsidR="009E7381" w:rsidRDefault="00783D46" w:rsidP="003855F8">
      <w:pPr>
        <w:pStyle w:val="Heading1"/>
        <w:rPr>
          <w:rFonts w:ascii="Calibri" w:hAnsi="Calibri" w:cs="Calibri"/>
          <w:b/>
          <w:bCs w:val="0"/>
          <w:color w:val="005172" w:themeColor="accent2"/>
          <w:sz w:val="40"/>
          <w:szCs w:val="40"/>
        </w:rPr>
      </w:pPr>
      <w:r w:rsidRPr="0091413A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 xml:space="preserve">Job title: </w:t>
      </w:r>
      <w:r w:rsidR="001B72BB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 xml:space="preserve">Assistant </w:t>
      </w:r>
      <w:r w:rsidR="00531AAC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 xml:space="preserve">Accountant </w:t>
      </w:r>
      <w:r w:rsidR="001B72BB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>(International)</w:t>
      </w: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DE57FE" w:rsidRPr="00DE57FE" w14:paraId="387EF6C4" w14:textId="77777777" w:rsidTr="00B570E3">
        <w:tc>
          <w:tcPr>
            <w:tcW w:w="9854" w:type="dxa"/>
            <w:shd w:val="clear" w:color="auto" w:fill="F2F2F2" w:themeFill="background1" w:themeFillShade="F2"/>
          </w:tcPr>
          <w:p w14:paraId="747B47D0" w14:textId="77777777" w:rsidR="00DE57FE" w:rsidRPr="00DE57FE" w:rsidRDefault="00DE57FE" w:rsidP="00DE57FE">
            <w:pPr>
              <w:spacing w:line="276" w:lineRule="auto"/>
              <w:outlineLvl w:val="1"/>
              <w:rPr>
                <w:rFonts w:ascii="Calibri" w:eastAsiaTheme="majorEastAsia" w:hAnsi="Calibri" w:cs="Calibri"/>
                <w:b/>
                <w:bCs/>
                <w:sz w:val="28"/>
                <w:szCs w:val="28"/>
              </w:rPr>
            </w:pPr>
            <w:r w:rsidRPr="00DE57FE">
              <w:rPr>
                <w:rFonts w:ascii="Calibri" w:eastAsiaTheme="majorEastAsia" w:hAnsi="Calibri" w:cs="Calibri"/>
                <w:b/>
                <w:bCs/>
                <w:color w:val="005172" w:themeColor="accent2"/>
                <w:sz w:val="28"/>
                <w:szCs w:val="28"/>
              </w:rPr>
              <w:t>Main purpose</w:t>
            </w:r>
          </w:p>
        </w:tc>
      </w:tr>
      <w:tr w:rsidR="00DE57FE" w:rsidRPr="007340E8" w14:paraId="09DFE8C4" w14:textId="77777777" w:rsidTr="00B570E3">
        <w:sdt>
          <w:sdtPr>
            <w:rPr>
              <w:rFonts w:ascii="Calibri" w:hAnsi="Calibri" w:cs="Calibri"/>
              <w:sz w:val="22"/>
            </w:rPr>
            <w:id w:val="-1849084309"/>
            <w:placeholder>
              <w:docPart w:val="1E20615CC2604B5B94978EE26AB15BB8"/>
            </w:placeholder>
          </w:sdtPr>
          <w:sdtEndPr/>
          <w:sdtContent>
            <w:tc>
              <w:tcPr>
                <w:tcW w:w="9854" w:type="dxa"/>
              </w:tcPr>
              <w:sdt>
                <w:sdtPr>
                  <w:id w:val="1659577167"/>
                  <w:placeholder>
                    <w:docPart w:val="5E6C6095F440DD42BE0819B6FCBF01BE"/>
                  </w:placeholder>
                </w:sdtPr>
                <w:sdtEndPr>
                  <w:rPr>
                    <w:rFonts w:ascii="Calibri" w:hAnsi="Calibri" w:cs="Calibri"/>
                    <w:sz w:val="22"/>
                  </w:rPr>
                </w:sdtEndPr>
                <w:sdtContent>
                  <w:p w14:paraId="6C062FA5" w14:textId="79AC926E" w:rsidR="001B72BB" w:rsidRPr="001B72BB" w:rsidRDefault="001B72BB" w:rsidP="001B72BB">
                    <w:pPr>
                      <w:rPr>
                        <w:rFonts w:ascii="Calibri" w:hAnsi="Calibri" w:cs="Calibri"/>
                        <w:sz w:val="22"/>
                      </w:rPr>
                    </w:pPr>
                    <w:r w:rsidRPr="001B72BB">
                      <w:rPr>
                        <w:rFonts w:ascii="Calibri" w:hAnsi="Calibri" w:cs="Calibri"/>
                        <w:sz w:val="22"/>
                      </w:rPr>
                      <w:t xml:space="preserve">Reporting into the Group Financial Controller (GFC), the Assistant </w:t>
                    </w:r>
                    <w:r w:rsidR="00531AAC">
                      <w:rPr>
                        <w:rFonts w:ascii="Calibri" w:hAnsi="Calibri" w:cs="Calibri"/>
                        <w:sz w:val="22"/>
                      </w:rPr>
                      <w:t xml:space="preserve">Accountant </w:t>
                    </w:r>
                    <w:r w:rsidRPr="001B72BB">
                      <w:rPr>
                        <w:rFonts w:ascii="Calibri" w:hAnsi="Calibri" w:cs="Calibri"/>
                        <w:sz w:val="22"/>
                      </w:rPr>
                      <w:t>(International) is responsible for all overseas offices in respect of preparation, planning and analysis of the financial and management accounts, whilst maintaining a robust control environment and commercial support to the Group</w:t>
                    </w:r>
                  </w:p>
                </w:sdtContent>
              </w:sdt>
              <w:p w14:paraId="665FF251" w14:textId="445EBFF5" w:rsidR="00DE57FE" w:rsidRPr="007340E8" w:rsidRDefault="00DE57FE" w:rsidP="001B72BB">
                <w:pPr>
                  <w:rPr>
                    <w:rFonts w:ascii="Calibri" w:hAnsi="Calibri" w:cs="Calibri"/>
                    <w:noProof/>
                    <w:sz w:val="22"/>
                  </w:rPr>
                </w:pPr>
              </w:p>
            </w:tc>
          </w:sdtContent>
        </w:sdt>
      </w:tr>
    </w:tbl>
    <w:p w14:paraId="5E38934B" w14:textId="77777777" w:rsidR="00DE57FE" w:rsidRPr="007340E8" w:rsidRDefault="00DE57FE" w:rsidP="00DE57FE">
      <w:pPr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3640"/>
        <w:gridCol w:w="5978"/>
      </w:tblGrid>
      <w:tr w:rsidR="003855F8" w:rsidRPr="007340E8" w14:paraId="253C2EEB" w14:textId="77777777" w:rsidTr="009611FE">
        <w:tc>
          <w:tcPr>
            <w:tcW w:w="9854" w:type="dxa"/>
            <w:gridSpan w:val="2"/>
            <w:tcBorders>
              <w:bottom w:val="single" w:sz="2" w:space="0" w:color="3C3C3B" w:themeColor="text1"/>
            </w:tcBorders>
            <w:shd w:val="clear" w:color="auto" w:fill="F2F2F2" w:themeFill="background1" w:themeFillShade="F2"/>
          </w:tcPr>
          <w:p w14:paraId="2BE2574F" w14:textId="5B67D8F6" w:rsidR="003855F8" w:rsidRPr="00CC6B04" w:rsidRDefault="003855F8" w:rsidP="003855F8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r w:rsidRPr="00CC6B04">
              <w:rPr>
                <w:rFonts w:ascii="Calibri" w:hAnsi="Calibri" w:cs="Calibri"/>
                <w:color w:val="005172" w:themeColor="accent2"/>
                <w:sz w:val="28"/>
                <w:szCs w:val="28"/>
              </w:rPr>
              <w:t xml:space="preserve">Main </w:t>
            </w:r>
            <w:r w:rsidR="00DE57FE" w:rsidRPr="00CC6B04">
              <w:rPr>
                <w:rFonts w:ascii="Calibri" w:hAnsi="Calibri" w:cs="Calibri"/>
                <w:color w:val="005172" w:themeColor="accent2"/>
                <w:sz w:val="28"/>
                <w:szCs w:val="28"/>
              </w:rPr>
              <w:t>duties</w:t>
            </w:r>
          </w:p>
        </w:tc>
      </w:tr>
      <w:tr w:rsidR="003855F8" w:rsidRPr="007340E8" w14:paraId="7A3CD7D6" w14:textId="77777777" w:rsidTr="009611FE">
        <w:sdt>
          <w:sdtPr>
            <w:rPr>
              <w:rFonts w:ascii="Calibri" w:eastAsia="Calibri" w:hAnsi="Calibri" w:cs="Calibri"/>
              <w:sz w:val="22"/>
            </w:rPr>
            <w:id w:val="-1177496164"/>
            <w:placeholder>
              <w:docPart w:val="533C0F25E33F42509946A9E9E62311D7"/>
            </w:placeholder>
          </w:sdtPr>
          <w:sdtEndPr>
            <w:rPr>
              <w:rFonts w:asciiTheme="minorHAnsi" w:eastAsiaTheme="minorEastAsia" w:hAnsiTheme="minorHAnsi" w:cstheme="minorBidi"/>
              <w:sz w:val="20"/>
            </w:rPr>
          </w:sdtEndPr>
          <w:sdtContent>
            <w:sdt>
              <w:sdtPr>
                <w:rPr>
                  <w:rFonts w:ascii="Calibri" w:eastAsia="Calibri" w:hAnsi="Calibri" w:cs="Calibri"/>
                  <w:sz w:val="22"/>
                </w:rPr>
                <w:id w:val="-372611003"/>
                <w:placeholder>
                  <w:docPart w:val="214F704A1D279D4D80F7B10D490086B6"/>
                </w:placeholder>
              </w:sdtPr>
              <w:sdtEndPr>
                <w:rPr>
                  <w:rFonts w:asciiTheme="minorHAnsi" w:eastAsiaTheme="minorEastAsia" w:hAnsiTheme="minorHAnsi" w:cstheme="minorBidi"/>
                  <w:sz w:val="20"/>
                </w:rPr>
              </w:sdtEndPr>
              <w:sdtContent>
                <w:tc>
                  <w:tcPr>
                    <w:tcW w:w="9854" w:type="dxa"/>
                    <w:gridSpan w:val="2"/>
                    <w:tcBorders>
                      <w:top w:val="single" w:sz="2" w:space="0" w:color="3C3C3B" w:themeColor="text1"/>
                      <w:bottom w:val="single" w:sz="4" w:space="0" w:color="auto"/>
                    </w:tcBorders>
                  </w:tcPr>
                  <w:p w14:paraId="2C27909E" w14:textId="77777777" w:rsidR="000827AE" w:rsidRPr="000827AE" w:rsidRDefault="000827AE" w:rsidP="000827AE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eastAsia="Calibri" w:hAnsi="Calibri" w:cs="Calibri"/>
                        <w:sz w:val="22"/>
                      </w:rPr>
                    </w:pPr>
                    <w:r w:rsidRPr="000827AE">
                      <w:rPr>
                        <w:rFonts w:ascii="Calibri" w:eastAsia="Calibri" w:hAnsi="Calibri" w:cs="Calibri"/>
                        <w:sz w:val="22"/>
                      </w:rPr>
                      <w:t>Overseeing monthly accounts for overseas offices, including Profit &amp; Loss and Balance Sheet, from transactional input.</w:t>
                    </w:r>
                  </w:p>
                  <w:p w14:paraId="4D2EAA19" w14:textId="77777777" w:rsidR="000827AE" w:rsidRPr="000827AE" w:rsidRDefault="00CC6B04" w:rsidP="000827AE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eastAsia="Calibri" w:hAnsi="Calibri" w:cs="Calibri"/>
                        <w:sz w:val="22"/>
                      </w:rPr>
                    </w:pPr>
                    <w:r w:rsidRPr="000827AE">
                      <w:rPr>
                        <w:rFonts w:ascii="Calibri" w:eastAsia="Calibri" w:hAnsi="Calibri" w:cs="Calibri"/>
                        <w:sz w:val="22"/>
                      </w:rPr>
                      <w:t>Liais</w:t>
                    </w:r>
                    <w:r w:rsidR="000827AE" w:rsidRPr="000827AE">
                      <w:rPr>
                        <w:rFonts w:ascii="Calibri" w:eastAsia="Calibri" w:hAnsi="Calibri" w:cs="Calibri"/>
                        <w:sz w:val="22"/>
                      </w:rPr>
                      <w:t>ing</w:t>
                    </w:r>
                    <w:r w:rsidRPr="000827AE">
                      <w:rPr>
                        <w:rFonts w:ascii="Calibri" w:eastAsia="Calibri" w:hAnsi="Calibri" w:cs="Calibri"/>
                        <w:sz w:val="22"/>
                      </w:rPr>
                      <w:t xml:space="preserve"> with overseas offices and external partners to ensure efficient and timely reporting.</w:t>
                    </w:r>
                  </w:p>
                  <w:p w14:paraId="2B76E8C9" w14:textId="6870DF2D" w:rsidR="000827AE" w:rsidRPr="000827AE" w:rsidRDefault="000827AE" w:rsidP="000827AE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eastAsia="Calibri" w:hAnsi="Calibri" w:cs="Calibri"/>
                        <w:sz w:val="22"/>
                      </w:rPr>
                    </w:pPr>
                    <w:r w:rsidRPr="000827AE">
                      <w:rPr>
                        <w:rFonts w:ascii="Calibri" w:hAnsi="Calibri" w:cs="Calibri"/>
                        <w:color w:val="374151"/>
                        <w:sz w:val="22"/>
                      </w:rPr>
                      <w:t>Managing and facilitating payments for overseas offices, ensuring compliance with regulations.</w:t>
                    </w:r>
                  </w:p>
                  <w:p w14:paraId="1897DBB8" w14:textId="14D4D9E5" w:rsidR="000827AE" w:rsidRPr="000827AE" w:rsidRDefault="000827AE" w:rsidP="00CC6B04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eastAsia="Calibri" w:hAnsi="Calibri" w:cs="Calibri"/>
                        <w:sz w:val="22"/>
                      </w:rPr>
                    </w:pPr>
                    <w:r w:rsidRPr="000827AE">
                      <w:rPr>
                        <w:rFonts w:ascii="Calibri" w:eastAsia="Calibri" w:hAnsi="Calibri" w:cs="Calibri"/>
                        <w:sz w:val="22"/>
                      </w:rPr>
                      <w:t>Assisting the GFC with year-end audits and Group deliverables.</w:t>
                    </w:r>
                  </w:p>
                  <w:p w14:paraId="386CF711" w14:textId="77777777" w:rsidR="000827AE" w:rsidRPr="000827AE" w:rsidRDefault="00CC6B04" w:rsidP="000827AE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eastAsia="Calibri" w:hAnsi="Calibri" w:cs="Calibri"/>
                        <w:sz w:val="22"/>
                      </w:rPr>
                    </w:pPr>
                    <w:r w:rsidRPr="000827AE">
                      <w:rPr>
                        <w:rFonts w:ascii="Calibri" w:eastAsia="Calibri" w:hAnsi="Calibri" w:cs="Calibri"/>
                        <w:sz w:val="22"/>
                      </w:rPr>
                      <w:t>Preparation of deferred income accrual for the UK operation.</w:t>
                    </w:r>
                  </w:p>
                  <w:p w14:paraId="76F2951F" w14:textId="77777777" w:rsidR="000827AE" w:rsidRPr="000827AE" w:rsidRDefault="000827AE" w:rsidP="000827AE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eastAsia="Calibri" w:hAnsi="Calibri" w:cs="Calibri"/>
                        <w:sz w:val="22"/>
                      </w:rPr>
                    </w:pPr>
                    <w:r w:rsidRPr="000827AE">
                      <w:rPr>
                        <w:rFonts w:ascii="Calibri" w:hAnsi="Calibri" w:cs="Calibri"/>
                        <w:color w:val="374151"/>
                        <w:sz w:val="22"/>
                      </w:rPr>
                      <w:t>Preparing deferred income accrual, prepayments, and accruals for the UK operation.</w:t>
                    </w:r>
                  </w:p>
                  <w:p w14:paraId="1FB9D53D" w14:textId="77777777" w:rsidR="000827AE" w:rsidRPr="000827AE" w:rsidRDefault="000827AE" w:rsidP="000827AE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eastAsia="Calibri" w:hAnsi="Calibri" w:cs="Calibri"/>
                        <w:sz w:val="22"/>
                      </w:rPr>
                    </w:pPr>
                    <w:r w:rsidRPr="000827AE">
                      <w:rPr>
                        <w:rFonts w:ascii="Calibri" w:hAnsi="Calibri" w:cs="Calibri"/>
                        <w:color w:val="374151"/>
                        <w:sz w:val="22"/>
                      </w:rPr>
                      <w:t>Supporting the preparation of Group balance sheet reconciliations.</w:t>
                    </w:r>
                  </w:p>
                  <w:p w14:paraId="31D49483" w14:textId="77777777" w:rsidR="000827AE" w:rsidRPr="000827AE" w:rsidRDefault="000827AE" w:rsidP="000827AE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eastAsia="Calibri" w:hAnsi="Calibri" w:cs="Calibri"/>
                        <w:sz w:val="22"/>
                      </w:rPr>
                    </w:pPr>
                    <w:r w:rsidRPr="000827AE">
                      <w:rPr>
                        <w:rFonts w:ascii="Calibri" w:hAnsi="Calibri" w:cs="Calibri"/>
                        <w:color w:val="374151"/>
                        <w:sz w:val="22"/>
                      </w:rPr>
                      <w:t>Serving as the primary contact for guarantees and letter of credit requests, in collaboration with the Assistant Financial Controller (AFC) and GFC.</w:t>
                    </w:r>
                  </w:p>
                  <w:p w14:paraId="3CC6CC45" w14:textId="5EA66DF1" w:rsidR="000827AE" w:rsidRPr="000827AE" w:rsidRDefault="000827AE" w:rsidP="000827AE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eastAsia="Calibri" w:hAnsi="Calibri" w:cs="Calibri"/>
                        <w:sz w:val="22"/>
                      </w:rPr>
                    </w:pPr>
                    <w:r w:rsidRPr="000827AE">
                      <w:rPr>
                        <w:rFonts w:ascii="Calibri" w:hAnsi="Calibri" w:cs="Calibri"/>
                        <w:color w:val="374151"/>
                        <w:sz w:val="22"/>
                      </w:rPr>
                      <w:t>Administering and overseeing all intercompany balances for the Group.</w:t>
                    </w:r>
                  </w:p>
                  <w:p w14:paraId="0A1C187D" w14:textId="739D000B" w:rsidR="00CC6B04" w:rsidRPr="000827AE" w:rsidRDefault="00CC6B04" w:rsidP="00CC6B04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eastAsia="Calibri" w:hAnsi="Calibri" w:cs="Calibri"/>
                        <w:sz w:val="22"/>
                      </w:rPr>
                    </w:pPr>
                    <w:r w:rsidRPr="000827AE">
                      <w:rPr>
                        <w:rFonts w:ascii="Calibri" w:eastAsia="Calibri" w:hAnsi="Calibri" w:cs="Calibri"/>
                        <w:sz w:val="22"/>
                      </w:rPr>
                      <w:t>Support the preparation and reporting of the monthly Group KPIs.</w:t>
                    </w:r>
                  </w:p>
                  <w:p w14:paraId="72E41AF8" w14:textId="69178DB2" w:rsidR="00CC6B04" w:rsidRPr="000827AE" w:rsidRDefault="00CC6B04" w:rsidP="00CC6B04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eastAsia="Calibri" w:hAnsi="Calibri" w:cs="Calibri"/>
                        <w:sz w:val="22"/>
                      </w:rPr>
                    </w:pPr>
                    <w:r w:rsidRPr="000827AE">
                      <w:rPr>
                        <w:rFonts w:ascii="Calibri" w:eastAsia="Calibri" w:hAnsi="Calibri" w:cs="Calibri"/>
                        <w:sz w:val="22"/>
                      </w:rPr>
                      <w:t>Support quarterly and annual Group budgeting and forecasting process.</w:t>
                    </w:r>
                  </w:p>
                  <w:p w14:paraId="725A38F3" w14:textId="77777777" w:rsidR="000827AE" w:rsidRPr="000827AE" w:rsidRDefault="00CC6B04" w:rsidP="000827AE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eastAsia="Calibri" w:hAnsi="Calibri" w:cs="Calibri"/>
                        <w:sz w:val="22"/>
                      </w:rPr>
                    </w:pPr>
                    <w:r w:rsidRPr="000827AE">
                      <w:rPr>
                        <w:rFonts w:ascii="Calibri" w:eastAsia="Calibri" w:hAnsi="Calibri" w:cs="Calibri"/>
                        <w:sz w:val="22"/>
                      </w:rPr>
                      <w:t>Support the Group Finance Director (GFD) and GFC in optimising the treasury position of the Group</w:t>
                    </w:r>
                    <w:r w:rsidR="000827AE" w:rsidRPr="000827AE">
                      <w:rPr>
                        <w:rFonts w:ascii="Calibri" w:eastAsia="Calibri" w:hAnsi="Calibri" w:cs="Calibri"/>
                        <w:sz w:val="22"/>
                      </w:rPr>
                      <w:t>.</w:t>
                    </w:r>
                    <w:r w:rsidRPr="000827AE">
                      <w:rPr>
                        <w:rFonts w:ascii="Calibri" w:eastAsia="Calibri" w:hAnsi="Calibri" w:cs="Calibri"/>
                        <w:sz w:val="22"/>
                      </w:rPr>
                      <w:t xml:space="preserve"> by ensuring that cash management is effective, and that foreign exchange is controlled.</w:t>
                    </w:r>
                  </w:p>
                  <w:p w14:paraId="2E035FDA" w14:textId="77777777" w:rsidR="000827AE" w:rsidRPr="000827AE" w:rsidRDefault="000827AE" w:rsidP="000827AE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eastAsia="Calibri" w:hAnsi="Calibri" w:cs="Calibri"/>
                        <w:sz w:val="22"/>
                      </w:rPr>
                    </w:pPr>
                    <w:r w:rsidRPr="000827AE">
                      <w:rPr>
                        <w:rFonts w:ascii="Calibri" w:hAnsi="Calibri" w:cs="Calibri"/>
                        <w:color w:val="374151"/>
                        <w:sz w:val="22"/>
                      </w:rPr>
                      <w:t>Updating and maintaining bank mandates for all Banks.</w:t>
                    </w:r>
                  </w:p>
                  <w:p w14:paraId="67B3C5F3" w14:textId="3C3DE83E" w:rsidR="000827AE" w:rsidRPr="000827AE" w:rsidRDefault="000827AE" w:rsidP="000827AE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eastAsia="Calibri" w:hAnsi="Calibri" w:cs="Calibri"/>
                        <w:sz w:val="22"/>
                      </w:rPr>
                    </w:pPr>
                    <w:r w:rsidRPr="000827AE">
                      <w:rPr>
                        <w:rFonts w:ascii="Calibri" w:hAnsi="Calibri" w:cs="Calibri"/>
                        <w:color w:val="374151"/>
                        <w:sz w:val="22"/>
                      </w:rPr>
                      <w:t>Supporting the GFC in streamlining and automating overseas accounting processes.</w:t>
                    </w:r>
                  </w:p>
                  <w:p w14:paraId="6C301A72" w14:textId="5A932877" w:rsidR="000827AE" w:rsidRPr="000827AE" w:rsidRDefault="000827AE" w:rsidP="000827AE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eastAsia="Calibri" w:hAnsi="Calibri" w:cs="Calibri"/>
                        <w:sz w:val="22"/>
                      </w:rPr>
                    </w:pPr>
                    <w:r w:rsidRPr="000827AE">
                      <w:rPr>
                        <w:rFonts w:ascii="Calibri" w:eastAsia="Calibri" w:hAnsi="Calibri" w:cs="Calibri"/>
                        <w:sz w:val="22"/>
                      </w:rPr>
                      <w:t xml:space="preserve">Providing back up for payroll. </w:t>
                    </w:r>
                  </w:p>
                  <w:p w14:paraId="16D4BBFF" w14:textId="5CC6CCBB" w:rsidR="003855F8" w:rsidRPr="000827AE" w:rsidRDefault="000827AE" w:rsidP="000827AE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eastAsia="Calibri" w:hAnsi="Calibri" w:cs="Calibri"/>
                        <w:sz w:val="22"/>
                      </w:rPr>
                    </w:pPr>
                    <w:r w:rsidRPr="000827AE">
                      <w:rPr>
                        <w:rFonts w:ascii="Calibri" w:hAnsi="Calibri" w:cs="Calibri"/>
                        <w:color w:val="374151"/>
                        <w:sz w:val="22"/>
                      </w:rPr>
                      <w:t>Handling ad-hoc duties as required.</w:t>
                    </w:r>
                  </w:p>
                </w:tc>
              </w:sdtContent>
            </w:sdt>
          </w:sdtContent>
        </w:sdt>
      </w:tr>
      <w:tr w:rsidR="003855F8" w:rsidRPr="0028243F" w14:paraId="470DC34B" w14:textId="77777777" w:rsidTr="009611FE">
        <w:sdt>
          <w:sdtPr>
            <w:id w:val="-1127164910"/>
            <w:lock w:val="sdtLocked"/>
            <w:placeholder>
              <w:docPart w:val="F70EDA51C4A147009E3BF67FD3435BD5"/>
            </w:placeholder>
            <w:showingPlcHdr/>
          </w:sdtPr>
          <w:sdtEndPr/>
          <w:sdtContent>
            <w:tc>
              <w:tcPr>
                <w:tcW w:w="985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5E115CB" w14:textId="0095E017" w:rsidR="003855F8" w:rsidRPr="009611FE" w:rsidRDefault="009611FE" w:rsidP="009611FE">
                <w:pPr>
                  <w:spacing w:after="450"/>
                </w:pPr>
                <w:r w:rsidRPr="00AC6B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7CEB" w:rsidRPr="0028243F" w14:paraId="70FFEB2A" w14:textId="77777777" w:rsidTr="009611FE">
        <w:tblPrEx>
          <w:tblLook w:val="0200" w:firstRow="0" w:lastRow="0" w:firstColumn="0" w:lastColumn="0" w:noHBand="1" w:noVBand="0"/>
        </w:tblPrEx>
        <w:tc>
          <w:tcPr>
            <w:tcW w:w="3716" w:type="dxa"/>
            <w:tcBorders>
              <w:top w:val="single" w:sz="4" w:space="0" w:color="auto"/>
              <w:bottom w:val="single" w:sz="2" w:space="0" w:color="3C3C3B" w:themeColor="text1"/>
            </w:tcBorders>
            <w:shd w:val="clear" w:color="auto" w:fill="F2F2F2" w:themeFill="background1" w:themeFillShade="F2"/>
          </w:tcPr>
          <w:p w14:paraId="3D27EE71" w14:textId="7F35E622" w:rsidR="006A7CEB" w:rsidRPr="0028243F" w:rsidRDefault="009611FE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</w:t>
            </w:r>
            <w:r w:rsidR="006A7CEB" w:rsidRPr="0028243F">
              <w:rPr>
                <w:rFonts w:ascii="Calibri" w:hAnsi="Calibri" w:cs="Calibri"/>
                <w:sz w:val="22"/>
                <w:szCs w:val="22"/>
              </w:rPr>
              <w:t>roup</w:t>
            </w:r>
          </w:p>
        </w:tc>
        <w:sdt>
          <w:sdtPr>
            <w:rPr>
              <w:rStyle w:val="NoSpacingChar"/>
              <w:rFonts w:ascii="Calibri" w:hAnsi="Calibri" w:cs="Calibri"/>
              <w:color w:val="auto"/>
              <w:sz w:val="22"/>
            </w:rPr>
            <w:id w:val="1494450585"/>
            <w:placeholder>
              <w:docPart w:val="1EFBFAA62BAE41C39C9635D33788F272"/>
            </w:placeholder>
            <w:showingPlcHdr/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tcBorders>
                  <w:top w:val="single" w:sz="4" w:space="0" w:color="auto"/>
                  <w:bottom w:val="single" w:sz="2" w:space="0" w:color="3C3C3B" w:themeColor="text1"/>
                </w:tcBorders>
                <w:shd w:val="clear" w:color="auto" w:fill="FFFFFF" w:themeFill="background1"/>
              </w:tcPr>
              <w:p w14:paraId="3FF339DF" w14:textId="52CBB61B" w:rsidR="006A7CEB" w:rsidRPr="006403EA" w:rsidRDefault="009611FE" w:rsidP="003A3319">
                <w:pPr>
                  <w:pStyle w:val="NoSpacing"/>
                  <w:rPr>
                    <w:rFonts w:ascii="Calibri" w:hAnsi="Calibri" w:cs="Calibri"/>
                    <w:color w:val="auto"/>
                    <w:sz w:val="22"/>
                  </w:rPr>
                </w:pPr>
                <w:r w:rsidRPr="009611FE">
                  <w:rPr>
                    <w:rStyle w:val="PlaceholderText"/>
                    <w:bdr w:val="single" w:sz="4" w:space="0" w:color="auto"/>
                  </w:rPr>
                  <w:t>Click here to enter text.</w:t>
                </w:r>
              </w:p>
            </w:tc>
          </w:sdtContent>
        </w:sdt>
      </w:tr>
      <w:tr w:rsidR="006A7CEB" w:rsidRPr="0028243F" w14:paraId="26A5C4DC" w14:textId="77777777" w:rsidTr="009611FE">
        <w:tblPrEx>
          <w:tblLook w:val="0200" w:firstRow="0" w:lastRow="0" w:firstColumn="0" w:lastColumn="0" w:noHBand="1" w:noVBand="0"/>
        </w:tblPrEx>
        <w:tc>
          <w:tcPr>
            <w:tcW w:w="3716" w:type="dxa"/>
            <w:tcBorders>
              <w:top w:val="single" w:sz="2" w:space="0" w:color="3C3C3B" w:themeColor="text1"/>
            </w:tcBorders>
            <w:shd w:val="clear" w:color="auto" w:fill="F2F2F2" w:themeFill="background1" w:themeFillShade="F2"/>
          </w:tcPr>
          <w:p w14:paraId="24ED8B38" w14:textId="77777777" w:rsidR="006A7CEB" w:rsidRPr="0028243F" w:rsidRDefault="006A7CEB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Reports to</w:t>
            </w:r>
          </w:p>
        </w:tc>
        <w:sdt>
          <w:sdtPr>
            <w:rPr>
              <w:rStyle w:val="NoSpacingChar"/>
              <w:rFonts w:ascii="Calibri" w:hAnsi="Calibri" w:cs="Calibri"/>
              <w:color w:val="auto"/>
              <w:sz w:val="22"/>
            </w:rPr>
            <w:id w:val="-1078363395"/>
            <w:placeholder>
              <w:docPart w:val="52332DFA92B04B89A6DFF7F99C6D31A5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tcBorders>
                  <w:top w:val="single" w:sz="2" w:space="0" w:color="3C3C3B" w:themeColor="text1"/>
                </w:tcBorders>
                <w:shd w:val="clear" w:color="auto" w:fill="FFFFFF" w:themeFill="background1"/>
              </w:tcPr>
              <w:p w14:paraId="4802989E" w14:textId="23C0F5D6" w:rsidR="006A7CEB" w:rsidRPr="006403EA" w:rsidRDefault="00CC6B04" w:rsidP="009A1BD9">
                <w:pPr>
                  <w:pStyle w:val="NoSpacing"/>
                  <w:rPr>
                    <w:rFonts w:ascii="Calibri" w:hAnsi="Calibri" w:cs="Calibri"/>
                    <w:color w:val="auto"/>
                    <w:sz w:val="22"/>
                  </w:rPr>
                </w:pPr>
                <w:r>
                  <w:rPr>
                    <w:rStyle w:val="NoSpacingChar"/>
                    <w:rFonts w:ascii="Calibri" w:hAnsi="Calibri" w:cs="Calibri"/>
                    <w:color w:val="auto"/>
                    <w:sz w:val="22"/>
                  </w:rPr>
                  <w:t>G</w:t>
                </w:r>
                <w:r>
                  <w:rPr>
                    <w:rStyle w:val="NoSpacingChar"/>
                  </w:rPr>
                  <w:t>roup Financial Controller</w:t>
                </w:r>
              </w:p>
            </w:tc>
          </w:sdtContent>
        </w:sdt>
      </w:tr>
      <w:tr w:rsidR="001341B3" w:rsidRPr="0028243F" w14:paraId="764C1AD5" w14:textId="77777777" w:rsidTr="00116626">
        <w:tblPrEx>
          <w:tblLook w:val="0200" w:firstRow="0" w:lastRow="0" w:firstColumn="0" w:lastColumn="0" w:noHBand="1" w:noVBand="0"/>
        </w:tblPrEx>
        <w:tc>
          <w:tcPr>
            <w:tcW w:w="3716" w:type="dxa"/>
            <w:shd w:val="clear" w:color="auto" w:fill="F2F2F2" w:themeFill="background1" w:themeFillShade="F2"/>
          </w:tcPr>
          <w:p w14:paraId="1D78C41B" w14:textId="1AE27414" w:rsidR="001341B3" w:rsidRPr="0028243F" w:rsidRDefault="001341B3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Responsible for</w:t>
            </w:r>
          </w:p>
        </w:tc>
        <w:tc>
          <w:tcPr>
            <w:tcW w:w="5902" w:type="dxa"/>
            <w:shd w:val="clear" w:color="auto" w:fill="FFFFFF" w:themeFill="background1"/>
          </w:tcPr>
          <w:p w14:paraId="3D07FB9A" w14:textId="6F4DA4FC" w:rsidR="001341B3" w:rsidRPr="00116626" w:rsidRDefault="001341B3" w:rsidP="006A7CEB">
            <w:pPr>
              <w:pStyle w:val="NoSpacing"/>
              <w:rPr>
                <w:rStyle w:val="NoSpacingChar"/>
                <w:rFonts w:ascii="Calibri" w:hAnsi="Calibri" w:cs="Calibri"/>
                <w:sz w:val="22"/>
              </w:rPr>
            </w:pPr>
          </w:p>
        </w:tc>
      </w:tr>
      <w:tr w:rsidR="006A7CEB" w:rsidRPr="0028243F" w14:paraId="07741F01" w14:textId="77777777" w:rsidTr="00116626">
        <w:tblPrEx>
          <w:tblLook w:val="0200" w:firstRow="0" w:lastRow="0" w:firstColumn="0" w:lastColumn="0" w:noHBand="1" w:noVBand="0"/>
        </w:tblPrEx>
        <w:tc>
          <w:tcPr>
            <w:tcW w:w="3716" w:type="dxa"/>
            <w:shd w:val="clear" w:color="auto" w:fill="F2F2F2" w:themeFill="background1" w:themeFillShade="F2"/>
          </w:tcPr>
          <w:p w14:paraId="407DEF22" w14:textId="77777777" w:rsidR="006A7CEB" w:rsidRPr="0028243F" w:rsidRDefault="00F05534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Date agreed</w:t>
            </w:r>
          </w:p>
        </w:tc>
        <w:sdt>
          <w:sdtPr>
            <w:rPr>
              <w:rStyle w:val="NoSpacingChar"/>
              <w:rFonts w:ascii="Calibri" w:hAnsi="Calibri" w:cs="Calibri"/>
              <w:sz w:val="22"/>
            </w:rPr>
            <w:id w:val="-2134693878"/>
            <w:placeholder>
              <w:docPart w:val="A636E7507DB942CD9F22B9A093A520CB"/>
            </w:placeholder>
            <w:showingPlcHdr/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3A4BC292" w14:textId="77777777" w:rsidR="006A7CEB" w:rsidRPr="0028243F" w:rsidRDefault="00AE0CF5" w:rsidP="006A7CEB">
                <w:pPr>
                  <w:pStyle w:val="NoSpacing"/>
                  <w:rPr>
                    <w:rFonts w:ascii="Calibri" w:hAnsi="Calibri" w:cs="Calibri"/>
                    <w:sz w:val="22"/>
                  </w:rPr>
                </w:pPr>
                <w:r w:rsidRPr="0028243F">
                  <w:rPr>
                    <w:rStyle w:val="PlaceholderText"/>
                    <w:rFonts w:ascii="Calibri" w:hAnsi="Calibri" w:cs="Calibri"/>
                    <w:color w:val="FFFFFF" w:themeColor="background1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0CD6132D" w14:textId="77777777" w:rsidR="003855F8" w:rsidRPr="0028243F" w:rsidRDefault="003855F8" w:rsidP="009D33A9">
      <w:pPr>
        <w:pStyle w:val="NoSpacing"/>
        <w:rPr>
          <w:rFonts w:ascii="Calibri" w:hAnsi="Calibri" w:cs="Calibri"/>
          <w:sz w:val="22"/>
          <w:u w:val="single"/>
        </w:rPr>
      </w:pPr>
    </w:p>
    <w:sectPr w:rsidR="003855F8" w:rsidRPr="0028243F" w:rsidSect="009611FE">
      <w:headerReference w:type="default" r:id="rId9"/>
      <w:footerReference w:type="default" r:id="rId10"/>
      <w:pgSz w:w="11906" w:h="16838"/>
      <w:pgMar w:top="162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30827" w14:textId="77777777" w:rsidR="000B4D4A" w:rsidRDefault="000B4D4A" w:rsidP="00700852">
      <w:pPr>
        <w:spacing w:line="240" w:lineRule="auto"/>
      </w:pPr>
      <w:r>
        <w:separator/>
      </w:r>
    </w:p>
  </w:endnote>
  <w:endnote w:type="continuationSeparator" w:id="0">
    <w:p w14:paraId="23D87954" w14:textId="77777777" w:rsidR="000B4D4A" w:rsidRDefault="000B4D4A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charset w:val="00"/>
    <w:family w:val="modern"/>
    <w:pitch w:val="variable"/>
    <w:sig w:usb0="A10000FF" w:usb1="40000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72AE" w14:textId="77777777" w:rsidR="00E67B9C" w:rsidRPr="007853F7" w:rsidRDefault="00E67B9C" w:rsidP="009C04CF">
    <w:pPr>
      <w:pStyle w:val="NoSpacing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E67B9C" w:rsidRPr="007853F7" w14:paraId="4FB88F85" w14:textId="77777777" w:rsidTr="00D30C0A">
      <w:tc>
        <w:tcPr>
          <w:tcW w:w="4927" w:type="dxa"/>
        </w:tcPr>
        <w:p w14:paraId="6922120F" w14:textId="35B5D008" w:rsidR="00E67B9C" w:rsidRPr="007853F7" w:rsidRDefault="00E67B9C" w:rsidP="00737A4D">
          <w:pPr>
            <w:pStyle w:val="NoSpacing"/>
            <w:rPr>
              <w:sz w:val="16"/>
              <w:szCs w:val="16"/>
            </w:rPr>
          </w:pPr>
        </w:p>
      </w:tc>
      <w:tc>
        <w:tcPr>
          <w:tcW w:w="4927" w:type="dxa"/>
        </w:tcPr>
        <w:p w14:paraId="5B1BAC94" w14:textId="7788D513" w:rsidR="00E67B9C" w:rsidRPr="007853F7" w:rsidRDefault="00E67B9C" w:rsidP="00D30C0A">
          <w:pPr>
            <w:pStyle w:val="NoSpacing"/>
            <w:jc w:val="right"/>
            <w:rPr>
              <w:sz w:val="16"/>
              <w:szCs w:val="16"/>
            </w:rPr>
          </w:pPr>
        </w:p>
      </w:tc>
    </w:tr>
  </w:tbl>
  <w:p w14:paraId="7666AE6A" w14:textId="77777777" w:rsidR="00E67B9C" w:rsidRDefault="00E67B9C" w:rsidP="00695743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2A40" w14:textId="77777777" w:rsidR="000B4D4A" w:rsidRDefault="000B4D4A" w:rsidP="00700852">
      <w:pPr>
        <w:spacing w:line="240" w:lineRule="auto"/>
      </w:pPr>
      <w:r>
        <w:separator/>
      </w:r>
    </w:p>
  </w:footnote>
  <w:footnote w:type="continuationSeparator" w:id="0">
    <w:p w14:paraId="3AA7535C" w14:textId="77777777" w:rsidR="000B4D4A" w:rsidRDefault="000B4D4A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FA97" w14:textId="266DF29C" w:rsidR="00E67B9C" w:rsidRPr="00FB0218" w:rsidRDefault="0091413A" w:rsidP="00905063">
    <w:r>
      <w:rPr>
        <w:noProof/>
      </w:rPr>
      <w:drawing>
        <wp:anchor distT="0" distB="0" distL="114300" distR="114300" simplePos="0" relativeHeight="251658240" behindDoc="1" locked="0" layoutInCell="1" allowOverlap="1" wp14:anchorId="630112C0" wp14:editId="1465EAE3">
          <wp:simplePos x="0" y="0"/>
          <wp:positionH relativeFrom="column">
            <wp:posOffset>-139065</wp:posOffset>
          </wp:positionH>
          <wp:positionV relativeFrom="page">
            <wp:posOffset>228600</wp:posOffset>
          </wp:positionV>
          <wp:extent cx="1190625" cy="645160"/>
          <wp:effectExtent l="0" t="0" r="9525" b="254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103950"/>
    <w:multiLevelType w:val="multilevel"/>
    <w:tmpl w:val="D516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B6993"/>
    <w:multiLevelType w:val="hybridMultilevel"/>
    <w:tmpl w:val="733A0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15FD8"/>
    <w:multiLevelType w:val="hybridMultilevel"/>
    <w:tmpl w:val="7E609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3712A"/>
    <w:multiLevelType w:val="multilevel"/>
    <w:tmpl w:val="4D74B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931EA"/>
    <w:multiLevelType w:val="multilevel"/>
    <w:tmpl w:val="57AC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34778"/>
    <w:multiLevelType w:val="multilevel"/>
    <w:tmpl w:val="FEC8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B5F4B"/>
    <w:multiLevelType w:val="multilevel"/>
    <w:tmpl w:val="0F6E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A92FF6"/>
    <w:multiLevelType w:val="hybridMultilevel"/>
    <w:tmpl w:val="4C166E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6022A"/>
    <w:multiLevelType w:val="multilevel"/>
    <w:tmpl w:val="42B8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757727"/>
    <w:multiLevelType w:val="multilevel"/>
    <w:tmpl w:val="DEB2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067258"/>
    <w:multiLevelType w:val="multilevel"/>
    <w:tmpl w:val="B396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5E9CAE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5E9CAE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13" w15:restartNumberingAfterBreak="0">
    <w:nsid w:val="4FE123BA"/>
    <w:multiLevelType w:val="hybridMultilevel"/>
    <w:tmpl w:val="4E92892C"/>
    <w:lvl w:ilvl="0" w:tplc="91FAB26C">
      <w:numFmt w:val="bullet"/>
      <w:lvlText w:val="•"/>
      <w:lvlJc w:val="left"/>
      <w:pPr>
        <w:ind w:left="1080" w:hanging="360"/>
      </w:pPr>
      <w:rPr>
        <w:rFonts w:ascii="Calibri Light" w:eastAsia="Gotham Book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ED4C1C"/>
    <w:multiLevelType w:val="multilevel"/>
    <w:tmpl w:val="2EAA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E21751"/>
    <w:multiLevelType w:val="multilevel"/>
    <w:tmpl w:val="5076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2673C2"/>
    <w:multiLevelType w:val="hybridMultilevel"/>
    <w:tmpl w:val="4CEC6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F633D"/>
    <w:multiLevelType w:val="multilevel"/>
    <w:tmpl w:val="DEE0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084EC2"/>
    <w:multiLevelType w:val="hybridMultilevel"/>
    <w:tmpl w:val="051E9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8D2806"/>
    <w:multiLevelType w:val="multilevel"/>
    <w:tmpl w:val="4E6C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4702788">
    <w:abstractNumId w:val="12"/>
  </w:num>
  <w:num w:numId="2" w16cid:durableId="2006977140">
    <w:abstractNumId w:val="8"/>
  </w:num>
  <w:num w:numId="3" w16cid:durableId="508060555">
    <w:abstractNumId w:val="3"/>
  </w:num>
  <w:num w:numId="4" w16cid:durableId="608705059">
    <w:abstractNumId w:val="13"/>
  </w:num>
  <w:num w:numId="5" w16cid:durableId="1268854798">
    <w:abstractNumId w:val="11"/>
  </w:num>
  <w:num w:numId="6" w16cid:durableId="843858214">
    <w:abstractNumId w:val="14"/>
  </w:num>
  <w:num w:numId="7" w16cid:durableId="702097560">
    <w:abstractNumId w:val="4"/>
  </w:num>
  <w:num w:numId="8" w16cid:durableId="542791449">
    <w:abstractNumId w:val="0"/>
  </w:num>
  <w:num w:numId="9" w16cid:durableId="2016415083">
    <w:abstractNumId w:val="18"/>
  </w:num>
  <w:num w:numId="10" w16cid:durableId="1683242722">
    <w:abstractNumId w:val="16"/>
  </w:num>
  <w:num w:numId="11" w16cid:durableId="1349598308">
    <w:abstractNumId w:val="2"/>
  </w:num>
  <w:num w:numId="12" w16cid:durableId="419719593">
    <w:abstractNumId w:val="6"/>
  </w:num>
  <w:num w:numId="13" w16cid:durableId="1646546544">
    <w:abstractNumId w:val="7"/>
  </w:num>
  <w:num w:numId="14" w16cid:durableId="698702691">
    <w:abstractNumId w:val="10"/>
  </w:num>
  <w:num w:numId="15" w16cid:durableId="279118110">
    <w:abstractNumId w:val="9"/>
  </w:num>
  <w:num w:numId="16" w16cid:durableId="642660514">
    <w:abstractNumId w:val="15"/>
  </w:num>
  <w:num w:numId="17" w16cid:durableId="2009016010">
    <w:abstractNumId w:val="17"/>
  </w:num>
  <w:num w:numId="18" w16cid:durableId="222330388">
    <w:abstractNumId w:val="1"/>
  </w:num>
  <w:num w:numId="19" w16cid:durableId="1240100031">
    <w:abstractNumId w:val="5"/>
  </w:num>
  <w:num w:numId="20" w16cid:durableId="387461597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F7"/>
    <w:rsid w:val="00000D25"/>
    <w:rsid w:val="000423F2"/>
    <w:rsid w:val="00065A39"/>
    <w:rsid w:val="00066D16"/>
    <w:rsid w:val="000702BD"/>
    <w:rsid w:val="00073F75"/>
    <w:rsid w:val="000827AE"/>
    <w:rsid w:val="00095276"/>
    <w:rsid w:val="000B4D4A"/>
    <w:rsid w:val="000D441F"/>
    <w:rsid w:val="000E1535"/>
    <w:rsid w:val="000E69F1"/>
    <w:rsid w:val="000E77A8"/>
    <w:rsid w:val="000F1A56"/>
    <w:rsid w:val="001024A8"/>
    <w:rsid w:val="00116626"/>
    <w:rsid w:val="001206C1"/>
    <w:rsid w:val="00123107"/>
    <w:rsid w:val="001315BC"/>
    <w:rsid w:val="001341B3"/>
    <w:rsid w:val="00136673"/>
    <w:rsid w:val="00157DEB"/>
    <w:rsid w:val="001636CC"/>
    <w:rsid w:val="00174F83"/>
    <w:rsid w:val="001827FF"/>
    <w:rsid w:val="001977F9"/>
    <w:rsid w:val="001B72BB"/>
    <w:rsid w:val="001C0AFF"/>
    <w:rsid w:val="001C3E71"/>
    <w:rsid w:val="00202DF0"/>
    <w:rsid w:val="002103F9"/>
    <w:rsid w:val="002337A7"/>
    <w:rsid w:val="002372BC"/>
    <w:rsid w:val="002450F4"/>
    <w:rsid w:val="00247766"/>
    <w:rsid w:val="00257147"/>
    <w:rsid w:val="002732A6"/>
    <w:rsid w:val="0027584E"/>
    <w:rsid w:val="0028243F"/>
    <w:rsid w:val="00293552"/>
    <w:rsid w:val="002A1C9A"/>
    <w:rsid w:val="002B1A78"/>
    <w:rsid w:val="002E0D44"/>
    <w:rsid w:val="002E27D8"/>
    <w:rsid w:val="002E45B7"/>
    <w:rsid w:val="00316B3B"/>
    <w:rsid w:val="00323781"/>
    <w:rsid w:val="00332F98"/>
    <w:rsid w:val="00341B93"/>
    <w:rsid w:val="00343EA9"/>
    <w:rsid w:val="00350EBF"/>
    <w:rsid w:val="00357132"/>
    <w:rsid w:val="003844BA"/>
    <w:rsid w:val="003855F8"/>
    <w:rsid w:val="00386D9D"/>
    <w:rsid w:val="00396B25"/>
    <w:rsid w:val="003A3319"/>
    <w:rsid w:val="003C0CB2"/>
    <w:rsid w:val="003C777F"/>
    <w:rsid w:val="003E02FD"/>
    <w:rsid w:val="003E3C40"/>
    <w:rsid w:val="003E643A"/>
    <w:rsid w:val="003F475A"/>
    <w:rsid w:val="00410738"/>
    <w:rsid w:val="00411776"/>
    <w:rsid w:val="004303FB"/>
    <w:rsid w:val="00432960"/>
    <w:rsid w:val="00446C37"/>
    <w:rsid w:val="00452851"/>
    <w:rsid w:val="00477D4C"/>
    <w:rsid w:val="00490307"/>
    <w:rsid w:val="0049369E"/>
    <w:rsid w:val="004B64AB"/>
    <w:rsid w:val="004D6767"/>
    <w:rsid w:val="00500C49"/>
    <w:rsid w:val="005142A9"/>
    <w:rsid w:val="0051713E"/>
    <w:rsid w:val="0053191C"/>
    <w:rsid w:val="00531AAC"/>
    <w:rsid w:val="00537575"/>
    <w:rsid w:val="00552B43"/>
    <w:rsid w:val="00566D47"/>
    <w:rsid w:val="00581AB1"/>
    <w:rsid w:val="00590058"/>
    <w:rsid w:val="005B16E4"/>
    <w:rsid w:val="005C68E5"/>
    <w:rsid w:val="005E2159"/>
    <w:rsid w:val="0061426D"/>
    <w:rsid w:val="0063405F"/>
    <w:rsid w:val="00634EDA"/>
    <w:rsid w:val="006403EA"/>
    <w:rsid w:val="00643D7A"/>
    <w:rsid w:val="00650225"/>
    <w:rsid w:val="00657620"/>
    <w:rsid w:val="00663E60"/>
    <w:rsid w:val="00677483"/>
    <w:rsid w:val="00695743"/>
    <w:rsid w:val="00695A49"/>
    <w:rsid w:val="006964CF"/>
    <w:rsid w:val="00696B48"/>
    <w:rsid w:val="006A7CEB"/>
    <w:rsid w:val="006C7A8E"/>
    <w:rsid w:val="006D4626"/>
    <w:rsid w:val="006D675F"/>
    <w:rsid w:val="006E3966"/>
    <w:rsid w:val="00700852"/>
    <w:rsid w:val="00711073"/>
    <w:rsid w:val="00725E5E"/>
    <w:rsid w:val="007340E8"/>
    <w:rsid w:val="00737A4D"/>
    <w:rsid w:val="00756B8E"/>
    <w:rsid w:val="00783D46"/>
    <w:rsid w:val="007853F7"/>
    <w:rsid w:val="00795BAE"/>
    <w:rsid w:val="007A76F4"/>
    <w:rsid w:val="007E732E"/>
    <w:rsid w:val="007F2FE4"/>
    <w:rsid w:val="00812901"/>
    <w:rsid w:val="00823589"/>
    <w:rsid w:val="00857290"/>
    <w:rsid w:val="00857458"/>
    <w:rsid w:val="0088240E"/>
    <w:rsid w:val="00884A2E"/>
    <w:rsid w:val="008A61A6"/>
    <w:rsid w:val="008C0842"/>
    <w:rsid w:val="008E4017"/>
    <w:rsid w:val="00905063"/>
    <w:rsid w:val="00905B88"/>
    <w:rsid w:val="0091413A"/>
    <w:rsid w:val="00930550"/>
    <w:rsid w:val="00930583"/>
    <w:rsid w:val="00953058"/>
    <w:rsid w:val="009611FE"/>
    <w:rsid w:val="0097090F"/>
    <w:rsid w:val="0098412B"/>
    <w:rsid w:val="009A1BD9"/>
    <w:rsid w:val="009C04CF"/>
    <w:rsid w:val="009C0909"/>
    <w:rsid w:val="009D33A9"/>
    <w:rsid w:val="009E5EB7"/>
    <w:rsid w:val="009E7381"/>
    <w:rsid w:val="009F2123"/>
    <w:rsid w:val="00A017D2"/>
    <w:rsid w:val="00A079EE"/>
    <w:rsid w:val="00A21C36"/>
    <w:rsid w:val="00A32916"/>
    <w:rsid w:val="00A35854"/>
    <w:rsid w:val="00A41D8D"/>
    <w:rsid w:val="00A44079"/>
    <w:rsid w:val="00AA2FA6"/>
    <w:rsid w:val="00AA5F9D"/>
    <w:rsid w:val="00AA72F4"/>
    <w:rsid w:val="00AB148E"/>
    <w:rsid w:val="00AC0AB9"/>
    <w:rsid w:val="00AC2252"/>
    <w:rsid w:val="00AD5463"/>
    <w:rsid w:val="00AE0CF5"/>
    <w:rsid w:val="00AF5DB4"/>
    <w:rsid w:val="00B16E7B"/>
    <w:rsid w:val="00B224D0"/>
    <w:rsid w:val="00B55096"/>
    <w:rsid w:val="00B83075"/>
    <w:rsid w:val="00BB4B48"/>
    <w:rsid w:val="00BC3E3B"/>
    <w:rsid w:val="00BC5625"/>
    <w:rsid w:val="00BD150E"/>
    <w:rsid w:val="00C03F95"/>
    <w:rsid w:val="00C04767"/>
    <w:rsid w:val="00C1051B"/>
    <w:rsid w:val="00C16285"/>
    <w:rsid w:val="00C2449B"/>
    <w:rsid w:val="00C24ECD"/>
    <w:rsid w:val="00C3403B"/>
    <w:rsid w:val="00C368F5"/>
    <w:rsid w:val="00C642DC"/>
    <w:rsid w:val="00C76DFF"/>
    <w:rsid w:val="00C91BFA"/>
    <w:rsid w:val="00CB755B"/>
    <w:rsid w:val="00CC6B04"/>
    <w:rsid w:val="00CF46EC"/>
    <w:rsid w:val="00CF7905"/>
    <w:rsid w:val="00D30C0A"/>
    <w:rsid w:val="00D604F5"/>
    <w:rsid w:val="00DA6E6A"/>
    <w:rsid w:val="00DB3389"/>
    <w:rsid w:val="00DE57FE"/>
    <w:rsid w:val="00DF7B14"/>
    <w:rsid w:val="00E136F7"/>
    <w:rsid w:val="00E246AD"/>
    <w:rsid w:val="00E55DB1"/>
    <w:rsid w:val="00E62F42"/>
    <w:rsid w:val="00E67B9C"/>
    <w:rsid w:val="00E974BE"/>
    <w:rsid w:val="00EA67A0"/>
    <w:rsid w:val="00ED057C"/>
    <w:rsid w:val="00ED4D63"/>
    <w:rsid w:val="00F045B7"/>
    <w:rsid w:val="00F05534"/>
    <w:rsid w:val="00F503E9"/>
    <w:rsid w:val="00F6674F"/>
    <w:rsid w:val="00F7411C"/>
    <w:rsid w:val="00F746B3"/>
    <w:rsid w:val="00F85D01"/>
    <w:rsid w:val="00FB0218"/>
    <w:rsid w:val="00FD4897"/>
    <w:rsid w:val="00FE2A0C"/>
    <w:rsid w:val="00FE50C3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3EB33"/>
  <w15:docId w15:val="{64B0EBE8-9906-4928-BD9E-65500EF0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4AB"/>
    <w:rPr>
      <w:color w:val="3C3C3B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9E7381"/>
    <w:pPr>
      <w:spacing w:before="120" w:after="120"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qFormat/>
    <w:rsid w:val="00C04767"/>
    <w:pPr>
      <w:spacing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437685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qFormat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CFC9" w:themeFill="accent6" w:themeFillTint="33"/>
    </w:tcPr>
    <w:tblStylePr w:type="firstRow">
      <w:rPr>
        <w:b/>
        <w:bCs/>
      </w:rPr>
      <w:tblPr/>
      <w:tcPr>
        <w:shd w:val="clear" w:color="auto" w:fill="E79F95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79F9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band1Vert">
      <w:tblPr/>
      <w:tcPr>
        <w:shd w:val="clear" w:color="auto" w:fill="E1887A" w:themeFill="accent6" w:themeFillTint="7F"/>
      </w:tcPr>
    </w:tblStylePr>
    <w:tblStylePr w:type="band1Horz">
      <w:tblPr/>
      <w:tcPr>
        <w:shd w:val="clear" w:color="auto" w:fill="E1887A" w:themeFill="accent6" w:themeFillTint="7F"/>
      </w:tcPr>
    </w:tblStylePr>
  </w:style>
  <w:style w:type="paragraph" w:customStyle="1" w:styleId="Bullet1">
    <w:name w:val="Bullet 1"/>
    <w:basedOn w:val="Normal"/>
    <w:uiPriority w:val="5"/>
    <w:qFormat/>
    <w:rsid w:val="00500C49"/>
    <w:pPr>
      <w:numPr>
        <w:numId w:val="1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qFormat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qFormat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B64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B64AB"/>
    <w:rPr>
      <w:rFonts w:asciiTheme="majorHAnsi" w:eastAsiaTheme="majorEastAsia" w:hAnsiTheme="majorHAnsi" w:cstheme="majorBidi"/>
      <w:color w:val="3C3C3B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9E7381"/>
    <w:rPr>
      <w:rFonts w:asciiTheme="majorHAnsi" w:eastAsiaTheme="majorEastAsia" w:hAnsiTheme="majorHAnsi" w:cstheme="majorBidi"/>
      <w:bCs/>
      <w:color w:val="3C3C3B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C04767"/>
    <w:rPr>
      <w:rFonts w:asciiTheme="majorHAnsi" w:eastAsiaTheme="majorEastAsia" w:hAnsiTheme="majorHAnsi" w:cstheme="majorBidi"/>
      <w:b/>
      <w:bCs/>
      <w:color w:val="3C3C3B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3C3C3B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3C3C3B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5E9CAE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3C3C3B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3C3C3B" w:themeColor="text1"/>
      <w:sz w:val="14"/>
      <w:szCs w:val="16"/>
    </w:rPr>
  </w:style>
  <w:style w:type="paragraph" w:styleId="Revision">
    <w:name w:val="Revision"/>
    <w:hidden/>
    <w:uiPriority w:val="99"/>
    <w:semiHidden/>
    <w:rsid w:val="003E3C40"/>
    <w:pPr>
      <w:spacing w:after="0" w:line="240" w:lineRule="auto"/>
    </w:pPr>
    <w:rPr>
      <w:color w:val="3C3C3B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61A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A61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A61A6"/>
    <w:rPr>
      <w:color w:val="3C3C3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1A6"/>
    <w:rPr>
      <w:b/>
      <w:bCs/>
      <w:color w:val="3C3C3B" w:themeColor="tex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C0A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%20Technici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3C0F25E33F42509946A9E9E6231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54329-A46C-497E-8A20-1400F50E77C2}"/>
      </w:docPartPr>
      <w:docPartBody>
        <w:p w:rsidR="001643EA" w:rsidRDefault="00406858">
          <w:pPr>
            <w:pStyle w:val="533C0F25E33F42509946A9E9E62311D7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F70EDA51C4A147009E3BF67FD343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5860F-6759-4698-A2DD-299323897AA9}"/>
      </w:docPartPr>
      <w:docPartBody>
        <w:p w:rsidR="001643EA" w:rsidRDefault="00406858">
          <w:pPr>
            <w:pStyle w:val="F70EDA51C4A147009E3BF67FD3435BD5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1EFBFAA62BAE41C39C9635D33788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1FE49-057A-4C36-B687-C63C8903454F}"/>
      </w:docPartPr>
      <w:docPartBody>
        <w:p w:rsidR="001643EA" w:rsidRDefault="00406858">
          <w:pPr>
            <w:pStyle w:val="1EFBFAA62BAE41C39C9635D33788F2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2332DFA92B04B89A6DFF7F99C6D3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E68F-09C2-4873-BABA-44413830B7EC}"/>
      </w:docPartPr>
      <w:docPartBody>
        <w:p w:rsidR="001643EA" w:rsidRDefault="00406858">
          <w:pPr>
            <w:pStyle w:val="52332DFA92B04B89A6DFF7F99C6D31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636E7507DB942CD9F22B9A093A5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B3C76-AB82-4D38-9B8B-C3FE4D242596}"/>
      </w:docPartPr>
      <w:docPartBody>
        <w:p w:rsidR="001643EA" w:rsidRDefault="00406858">
          <w:pPr>
            <w:pStyle w:val="A636E7507DB942CD9F22B9A093A520C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E20615CC2604B5B94978EE26AB15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A210A-4FBC-45A5-80A6-9766593BFA06}"/>
      </w:docPartPr>
      <w:docPartBody>
        <w:p w:rsidR="00E170EF" w:rsidRDefault="00D72EF8" w:rsidP="00D72EF8">
          <w:pPr>
            <w:pStyle w:val="1E20615CC2604B5B94978EE26AB15BB8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214F704A1D279D4D80F7B10D49008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F8533-E3D9-A944-AEBC-DB4BAE6DEDA7}"/>
      </w:docPartPr>
      <w:docPartBody>
        <w:p w:rsidR="00201465" w:rsidRDefault="00846A94" w:rsidP="00846A94">
          <w:pPr>
            <w:pStyle w:val="214F704A1D279D4D80F7B10D490086B6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5E6C6095F440DD42BE0819B6FCBF0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3C2FF-A7EC-B746-8DDA-DF5CABCB01B1}"/>
      </w:docPartPr>
      <w:docPartBody>
        <w:p w:rsidR="00E24706" w:rsidRDefault="006F14C1" w:rsidP="006F14C1">
          <w:pPr>
            <w:pStyle w:val="5E6C6095F440DD42BE0819B6FCBF01BE"/>
          </w:pPr>
          <w:r w:rsidRPr="00AC6B6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charset w:val="00"/>
    <w:family w:val="modern"/>
    <w:pitch w:val="variable"/>
    <w:sig w:usb0="A10000FF" w:usb1="40000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58"/>
    <w:rsid w:val="00031783"/>
    <w:rsid w:val="00082663"/>
    <w:rsid w:val="00156075"/>
    <w:rsid w:val="001643EA"/>
    <w:rsid w:val="00201465"/>
    <w:rsid w:val="00203B5B"/>
    <w:rsid w:val="002444B4"/>
    <w:rsid w:val="002E147D"/>
    <w:rsid w:val="00340B3B"/>
    <w:rsid w:val="003F6F2A"/>
    <w:rsid w:val="00406858"/>
    <w:rsid w:val="00565EFA"/>
    <w:rsid w:val="00583A9D"/>
    <w:rsid w:val="006119E8"/>
    <w:rsid w:val="006F14C1"/>
    <w:rsid w:val="00710E85"/>
    <w:rsid w:val="007379EF"/>
    <w:rsid w:val="007E1203"/>
    <w:rsid w:val="00800122"/>
    <w:rsid w:val="0081748E"/>
    <w:rsid w:val="00846A94"/>
    <w:rsid w:val="0086716E"/>
    <w:rsid w:val="009E0D9A"/>
    <w:rsid w:val="00A439C8"/>
    <w:rsid w:val="00A704FD"/>
    <w:rsid w:val="00B2744C"/>
    <w:rsid w:val="00BA42A5"/>
    <w:rsid w:val="00CD3CC1"/>
    <w:rsid w:val="00D36ED3"/>
    <w:rsid w:val="00D72EF8"/>
    <w:rsid w:val="00DC6F33"/>
    <w:rsid w:val="00DD4AD1"/>
    <w:rsid w:val="00E14066"/>
    <w:rsid w:val="00E170EF"/>
    <w:rsid w:val="00E24706"/>
    <w:rsid w:val="00E5797D"/>
    <w:rsid w:val="00E8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14C1"/>
  </w:style>
  <w:style w:type="paragraph" w:customStyle="1" w:styleId="533C0F25E33F42509946A9E9E62311D7">
    <w:name w:val="533C0F25E33F42509946A9E9E62311D7"/>
  </w:style>
  <w:style w:type="paragraph" w:customStyle="1" w:styleId="F70EDA51C4A147009E3BF67FD3435BD5">
    <w:name w:val="F70EDA51C4A147009E3BF67FD3435BD5"/>
  </w:style>
  <w:style w:type="paragraph" w:customStyle="1" w:styleId="1EFBFAA62BAE41C39C9635D33788F272">
    <w:name w:val="1EFBFAA62BAE41C39C9635D33788F272"/>
  </w:style>
  <w:style w:type="paragraph" w:customStyle="1" w:styleId="52332DFA92B04B89A6DFF7F99C6D31A5">
    <w:name w:val="52332DFA92B04B89A6DFF7F99C6D31A5"/>
  </w:style>
  <w:style w:type="paragraph" w:customStyle="1" w:styleId="A636E7507DB942CD9F22B9A093A520CB">
    <w:name w:val="A636E7507DB942CD9F22B9A093A520CB"/>
  </w:style>
  <w:style w:type="paragraph" w:customStyle="1" w:styleId="1E20615CC2604B5B94978EE26AB15BB8">
    <w:name w:val="1E20615CC2604B5B94978EE26AB15BB8"/>
    <w:rsid w:val="00D72EF8"/>
  </w:style>
  <w:style w:type="paragraph" w:customStyle="1" w:styleId="214F704A1D279D4D80F7B10D490086B6">
    <w:name w:val="214F704A1D279D4D80F7B10D490086B6"/>
    <w:rsid w:val="00846A94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E6C6095F440DD42BE0819B6FCBF01BE">
    <w:name w:val="5E6C6095F440DD42BE0819B6FCBF01BE"/>
    <w:rsid w:val="006F14C1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HR Wallingford theme">
  <a:themeElements>
    <a:clrScheme name="HR Wallingford">
      <a:dk1>
        <a:srgbClr val="3C3C3B"/>
      </a:dk1>
      <a:lt1>
        <a:sysClr val="window" lastClr="FFFFFF"/>
      </a:lt1>
      <a:dk2>
        <a:srgbClr val="9D9D9C"/>
      </a:dk2>
      <a:lt2>
        <a:srgbClr val="EDEDED"/>
      </a:lt2>
      <a:accent1>
        <a:srgbClr val="5E9CAE"/>
      </a:accent1>
      <a:accent2>
        <a:srgbClr val="005172"/>
      </a:accent2>
      <a:accent3>
        <a:srgbClr val="156570"/>
      </a:accent3>
      <a:accent4>
        <a:srgbClr val="879637"/>
      </a:accent4>
      <a:accent5>
        <a:srgbClr val="D47620"/>
      </a:accent5>
      <a:accent6>
        <a:srgbClr val="983222"/>
      </a:accent6>
      <a:hlink>
        <a:srgbClr val="857363"/>
      </a:hlink>
      <a:folHlink>
        <a:srgbClr val="D2B95D"/>
      </a:folHlink>
    </a:clrScheme>
    <a:fontScheme name="HR Wallingf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1"/>
          </a:solidFill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2000" dirty="0" err="1" smtClean="0">
            <a:solidFill>
              <a:schemeClr val="tx1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EA2462-3222-48FF-AD52-47A2B969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Technician.dotx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HR Wallingford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Stephen Richardson</dc:creator>
  <cp:lastModifiedBy>Sharon Draper</cp:lastModifiedBy>
  <cp:revision>4</cp:revision>
  <cp:lastPrinted>2012-08-17T07:51:00Z</cp:lastPrinted>
  <dcterms:created xsi:type="dcterms:W3CDTF">2023-09-13T11:53:00Z</dcterms:created>
  <dcterms:modified xsi:type="dcterms:W3CDTF">2023-09-15T10:41:00Z</dcterms:modified>
</cp:coreProperties>
</file>