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3124" w14:textId="5342A266" w:rsidR="00CA6B33" w:rsidRDefault="00000000" w:rsidP="008B2E14">
      <w:pPr>
        <w:pStyle w:val="Heading1"/>
      </w:pPr>
      <w:sdt>
        <w:sdtPr>
          <w:rPr>
            <w:b/>
            <w:bCs w:val="0"/>
          </w:rPr>
          <w:id w:val="182320011"/>
          <w:lock w:val="contentLocked"/>
          <w:placeholder>
            <w:docPart w:val="EDF997E5AD844BC5A5331F54BE0B14B9"/>
          </w:placeholder>
        </w:sdtPr>
        <w:sdtContent>
          <w:r w:rsidR="00307F58" w:rsidRPr="0031301F">
            <w:rPr>
              <w:b/>
              <w:bCs w:val="0"/>
            </w:rPr>
            <w:t>Job title:</w:t>
          </w:r>
          <w:r w:rsidR="00307F58">
            <w:rPr>
              <w:b/>
              <w:bCs w:val="0"/>
            </w:rPr>
            <w:t xml:space="preserve"> </w:t>
          </w:r>
        </w:sdtContent>
      </w:sdt>
      <w:sdt>
        <w:sdtPr>
          <w:id w:val="-1042281473"/>
          <w:placeholder>
            <w:docPart w:val="0B6D38947651467B8F0FF58979A9DD64"/>
          </w:placeholder>
        </w:sdtPr>
        <w:sdtContent>
          <w:r w:rsidR="00A51480" w:rsidRPr="00A51480">
            <w:t>Chief Financ</w:t>
          </w:r>
          <w:r w:rsidR="00A51480">
            <w:t>ial</w:t>
          </w:r>
          <w:r w:rsidR="00A51480" w:rsidRPr="00A51480">
            <w:t xml:space="preserve"> Officer</w:t>
          </w:r>
        </w:sdtContent>
      </w:sdt>
    </w:p>
    <w:p w14:paraId="710BE733" w14:textId="77777777" w:rsidR="008B2E14" w:rsidRDefault="008B2E14" w:rsidP="00A61000">
      <w:pPr>
        <w:pStyle w:val="NoSpacing"/>
      </w:pPr>
    </w:p>
    <w:tbl>
      <w:tblPr>
        <w:tblStyle w:val="TableGrid"/>
        <w:tblW w:w="9629" w:type="dxa"/>
        <w:tbl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  <w:insideH w:val="single" w:sz="2" w:space="0" w:color="0C0C0C" w:themeColor="text1"/>
          <w:insideV w:val="single" w:sz="2" w:space="0" w:color="0C0C0C" w:themeColor="text1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29"/>
      </w:tblGrid>
      <w:tr w:rsidR="00D810AC" w:rsidRPr="00DF2A7D" w14:paraId="65A4B8F5" w14:textId="77777777" w:rsidTr="00A61000">
        <w:tc>
          <w:tcPr>
            <w:tcW w:w="9629" w:type="dxa"/>
            <w:shd w:val="clear" w:color="auto" w:fill="F2F2F2" w:themeFill="background1" w:themeFillShade="F2"/>
          </w:tcPr>
          <w:p w14:paraId="70B18769" w14:textId="77777777" w:rsidR="00D810AC" w:rsidRPr="00DF2A7D" w:rsidRDefault="00A61000" w:rsidP="00A61000">
            <w:pPr>
              <w:pStyle w:val="Heading2"/>
              <w:rPr>
                <w:sz w:val="18"/>
                <w:szCs w:val="18"/>
              </w:rPr>
            </w:pPr>
            <w:r>
              <w:t xml:space="preserve">Main </w:t>
            </w:r>
            <w:r w:rsidRPr="00A61000">
              <w:t>purpose</w:t>
            </w:r>
          </w:p>
        </w:tc>
      </w:tr>
      <w:tr w:rsidR="00A61000" w:rsidRPr="00DF2A7D" w14:paraId="0EFC3B9F" w14:textId="77777777" w:rsidTr="00A61000">
        <w:tc>
          <w:tcPr>
            <w:tcW w:w="9629" w:type="dxa"/>
            <w:tcBorders>
              <w:top w:val="single" w:sz="2" w:space="0" w:color="0C0C0C" w:themeColor="text1"/>
              <w:bottom w:val="single" w:sz="8" w:space="0" w:color="0C0C0C" w:themeColor="text1"/>
            </w:tcBorders>
          </w:tcPr>
          <w:p w14:paraId="437228AA" w14:textId="24D2983C" w:rsidR="00A51480" w:rsidRDefault="00A51480" w:rsidP="008D186F">
            <w:pPr>
              <w:pStyle w:val="Bullet1"/>
              <w:spacing w:before="40"/>
            </w:pPr>
            <w:r>
              <w:t>Leadership and oversight of all financial aspects of the business including the Group’s financial strategy and planning.</w:t>
            </w:r>
          </w:p>
          <w:p w14:paraId="0D8EDA8D" w14:textId="77AFFE80" w:rsidR="00A51480" w:rsidRDefault="00A51480" w:rsidP="008D186F">
            <w:pPr>
              <w:pStyle w:val="Bullet1"/>
              <w:spacing w:before="40"/>
            </w:pPr>
            <w:r>
              <w:t>Leadership of Group legal and oversight of commercial activities, governance, compliance and risk.</w:t>
            </w:r>
          </w:p>
          <w:p w14:paraId="3C631011" w14:textId="26A8CBD5" w:rsidR="00A51480" w:rsidRDefault="00A51480" w:rsidP="008D186F">
            <w:pPr>
              <w:pStyle w:val="Bullet1"/>
              <w:spacing w:before="40"/>
            </w:pPr>
            <w:r>
              <w:t>Sustainable development of Howbery Park Estate, including P&amp;L.</w:t>
            </w:r>
          </w:p>
          <w:p w14:paraId="7B588BE8" w14:textId="08FAF830" w:rsidR="00A61000" w:rsidRPr="00DF2A7D" w:rsidRDefault="00A51480" w:rsidP="008D186F">
            <w:pPr>
              <w:pStyle w:val="Bullet1"/>
              <w:spacing w:before="40"/>
            </w:pPr>
            <w:r>
              <w:t>Leadership of the Information Services team and associated strategy and delivery.</w:t>
            </w:r>
          </w:p>
        </w:tc>
      </w:tr>
    </w:tbl>
    <w:p w14:paraId="7D87EB72" w14:textId="77777777" w:rsidR="00D810AC" w:rsidRDefault="00D810AC" w:rsidP="00A61000">
      <w:pPr>
        <w:pStyle w:val="NoSpacing"/>
      </w:pPr>
    </w:p>
    <w:tbl>
      <w:tblPr>
        <w:tblStyle w:val="TableGrid"/>
        <w:tblW w:w="0" w:type="auto"/>
        <w:tbl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  <w:insideH w:val="single" w:sz="2" w:space="0" w:color="0C0C0C" w:themeColor="text1"/>
          <w:insideV w:val="single" w:sz="2" w:space="0" w:color="0C0C0C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D810AC" w:rsidRPr="00C04767" w14:paraId="27475BAA" w14:textId="77777777" w:rsidTr="00332DFF">
        <w:tc>
          <w:tcPr>
            <w:tcW w:w="9854" w:type="dxa"/>
            <w:shd w:val="clear" w:color="auto" w:fill="F2F2F2" w:themeFill="background1" w:themeFillShade="F2"/>
          </w:tcPr>
          <w:p w14:paraId="62606674" w14:textId="77777777" w:rsidR="00D810AC" w:rsidRPr="00C04767" w:rsidRDefault="00D810AC" w:rsidP="00332DFF">
            <w:pPr>
              <w:pStyle w:val="Heading2"/>
            </w:pPr>
            <w:r>
              <w:t>Main duties</w:t>
            </w:r>
          </w:p>
        </w:tc>
      </w:tr>
      <w:tr w:rsidR="00D810AC" w:rsidRPr="00C04767" w14:paraId="109A9026" w14:textId="77777777" w:rsidTr="00332DFF">
        <w:tc>
          <w:tcPr>
            <w:tcW w:w="9854" w:type="dxa"/>
          </w:tcPr>
          <w:p w14:paraId="5D345F40" w14:textId="77777777" w:rsidR="00A51480" w:rsidRPr="008D186F" w:rsidRDefault="00A51480" w:rsidP="00A51480">
            <w:pPr>
              <w:spacing w:after="0" w:line="240" w:lineRule="auto"/>
              <w:rPr>
                <w:b/>
                <w:bCs/>
              </w:rPr>
            </w:pPr>
            <w:r w:rsidRPr="008D186F">
              <w:rPr>
                <w:b/>
                <w:bCs/>
              </w:rPr>
              <w:t>Finance</w:t>
            </w:r>
          </w:p>
          <w:p w14:paraId="3D370CF7" w14:textId="498F7004" w:rsidR="00A51480" w:rsidRDefault="00A51480" w:rsidP="008D186F">
            <w:pPr>
              <w:pStyle w:val="Bullet1"/>
              <w:spacing w:before="40"/>
            </w:pPr>
            <w:r>
              <w:t>Management and leadership of the Finance function, increasing effectiveness and efficiency and team development and engagement.</w:t>
            </w:r>
          </w:p>
          <w:p w14:paraId="03F93D18" w14:textId="26D1751C" w:rsidR="00A51480" w:rsidRDefault="00A51480" w:rsidP="008D186F">
            <w:pPr>
              <w:pStyle w:val="Bullet1"/>
              <w:spacing w:before="40"/>
            </w:pPr>
            <w:r>
              <w:t>Appraisal, upgrade, standardisation and maintenance of the financial and associated systems and controls to minimise risk and increase efficiency for the Group.</w:t>
            </w:r>
          </w:p>
          <w:p w14:paraId="0BA981A3" w14:textId="5B3F3E6C" w:rsidR="00A51480" w:rsidRDefault="00A51480" w:rsidP="008D186F">
            <w:pPr>
              <w:pStyle w:val="Bullet1"/>
              <w:spacing w:before="40"/>
            </w:pPr>
            <w:r>
              <w:t>Full P&amp;L ownership, with understanding and accountability and a strong commercial ethos across the Group.</w:t>
            </w:r>
          </w:p>
          <w:p w14:paraId="00DEFB5F" w14:textId="5F64AF46" w:rsidR="00A51480" w:rsidRDefault="00A51480" w:rsidP="008D186F">
            <w:pPr>
              <w:pStyle w:val="Bullet1"/>
              <w:spacing w:before="40"/>
            </w:pPr>
            <w:r>
              <w:t>Rigorous project accounting and review; including, application of contract accounting policy and control, revenue recognition across diverse business lines, profit and loss taking, WIP levels and debt management.</w:t>
            </w:r>
          </w:p>
          <w:p w14:paraId="055E24FC" w14:textId="38CA0790" w:rsidR="00A51480" w:rsidRDefault="00A51480" w:rsidP="008D186F">
            <w:pPr>
              <w:pStyle w:val="Bullet1"/>
              <w:spacing w:before="40"/>
            </w:pPr>
            <w:r>
              <w:t xml:space="preserve">Direct involvement and presentation to the Board the financial state of the business, regulatory matters and risk management activities. </w:t>
            </w:r>
          </w:p>
          <w:p w14:paraId="07BD973E" w14:textId="085FEE1B" w:rsidR="00A51480" w:rsidRDefault="00A51480" w:rsidP="008D186F">
            <w:pPr>
              <w:pStyle w:val="Bullet1"/>
              <w:spacing w:before="40"/>
            </w:pPr>
            <w:r>
              <w:t>Prepare and present monthly reports to the CEO with insightful information and analysis. Support all Directors to ensure they have relevant, timely business information – including key performance indicators.</w:t>
            </w:r>
          </w:p>
          <w:p w14:paraId="0F5FCD46" w14:textId="62A0996F" w:rsidR="00A51480" w:rsidRDefault="00A51480" w:rsidP="008D186F">
            <w:pPr>
              <w:pStyle w:val="Bullet1"/>
              <w:spacing w:before="40"/>
            </w:pPr>
            <w:r>
              <w:t>Lead the development and delivery of appropriate corporate insurance regime across the Group.</w:t>
            </w:r>
          </w:p>
          <w:p w14:paraId="69529CEC" w14:textId="7FEA6B26" w:rsidR="00A51480" w:rsidRDefault="00A51480" w:rsidP="008D186F">
            <w:pPr>
              <w:pStyle w:val="Bullet1"/>
              <w:spacing w:before="40"/>
            </w:pPr>
            <w:r>
              <w:t xml:space="preserve">Ensure compliance with applicable taxes across the Group, including significant R&amp;D Tax credit claims (UK), s469 corporation tax exemption (UK)  and payroll/indirect/corporation taxes in all locations. </w:t>
            </w:r>
          </w:p>
          <w:p w14:paraId="215AF95C" w14:textId="08FDF1C2" w:rsidR="00A51480" w:rsidRDefault="00A51480" w:rsidP="008D186F">
            <w:pPr>
              <w:pStyle w:val="Bullet1"/>
              <w:spacing w:before="40"/>
            </w:pPr>
            <w:r>
              <w:t>Support to prepare and help implement the strategic, annual and operating plans including ownership of strategic financial planning, annual budgeting and quarterly forecasts.</w:t>
            </w:r>
          </w:p>
          <w:p w14:paraId="3A1D127E" w14:textId="05BA4E84" w:rsidR="00A51480" w:rsidRDefault="00A51480" w:rsidP="008D186F">
            <w:pPr>
              <w:pStyle w:val="Bullet1"/>
              <w:spacing w:before="40"/>
            </w:pPr>
            <w:r>
              <w:t>Support the Directors in analysing business development and growth opportunities for the business, from bid support through to possible large scale investments, joint ventures or acquisitions.</w:t>
            </w:r>
          </w:p>
          <w:p w14:paraId="085B3DF9" w14:textId="03F826EC" w:rsidR="00A51480" w:rsidRDefault="00A51480" w:rsidP="008D186F">
            <w:pPr>
              <w:pStyle w:val="Bullet1"/>
              <w:spacing w:before="40"/>
            </w:pPr>
            <w:r>
              <w:t>Preparation of Group Annual Report and liaison with external auditors.</w:t>
            </w:r>
          </w:p>
          <w:p w14:paraId="2F6536E6" w14:textId="77777777" w:rsidR="00A51480" w:rsidRPr="008D186F" w:rsidRDefault="00A51480" w:rsidP="00A51480">
            <w:pPr>
              <w:spacing w:after="0" w:line="240" w:lineRule="auto"/>
              <w:rPr>
                <w:b/>
                <w:bCs/>
              </w:rPr>
            </w:pPr>
            <w:r w:rsidRPr="008D186F">
              <w:rPr>
                <w:b/>
                <w:bCs/>
              </w:rPr>
              <w:t>Legal</w:t>
            </w:r>
          </w:p>
          <w:p w14:paraId="58F7ED4B" w14:textId="7A02DA1A" w:rsidR="00A51480" w:rsidRDefault="00A51480" w:rsidP="008D186F">
            <w:pPr>
              <w:pStyle w:val="Bullet1"/>
              <w:spacing w:before="40"/>
            </w:pPr>
            <w:r>
              <w:t>Management and leadership of the legal function</w:t>
            </w:r>
          </w:p>
          <w:p w14:paraId="3A574AFC" w14:textId="00A6BF59" w:rsidR="00A51480" w:rsidRDefault="00A51480" w:rsidP="008D186F">
            <w:pPr>
              <w:pStyle w:val="Bullet1"/>
              <w:spacing w:before="40"/>
            </w:pPr>
            <w:r>
              <w:t>Maintenance of appropriate contracting positions that sit within approved risk appetite of the Group</w:t>
            </w:r>
          </w:p>
          <w:p w14:paraId="41E47F3C" w14:textId="6EA7013A" w:rsidR="00A51480" w:rsidRDefault="00A51480" w:rsidP="008D186F">
            <w:pPr>
              <w:pStyle w:val="Bullet1"/>
              <w:spacing w:before="40"/>
            </w:pPr>
            <w:r>
              <w:t>Ensuring compliance with legislation including but not limited to sanctions, anti-money laundering, Criminal Finance Act, IR35 and GDPR</w:t>
            </w:r>
          </w:p>
          <w:p w14:paraId="75F20AE4" w14:textId="77777777" w:rsidR="00A51480" w:rsidRPr="008D186F" w:rsidRDefault="00A51480" w:rsidP="00A51480">
            <w:pPr>
              <w:spacing w:after="0" w:line="240" w:lineRule="auto"/>
              <w:rPr>
                <w:b/>
                <w:bCs/>
              </w:rPr>
            </w:pPr>
            <w:r w:rsidRPr="008D186F">
              <w:rPr>
                <w:b/>
                <w:bCs/>
              </w:rPr>
              <w:t>Corporate Governance</w:t>
            </w:r>
          </w:p>
          <w:p w14:paraId="6198D4D2" w14:textId="0297E66E" w:rsidR="00A51480" w:rsidRDefault="00A51480" w:rsidP="008D186F">
            <w:pPr>
              <w:pStyle w:val="Bullet1"/>
              <w:spacing w:before="40"/>
            </w:pPr>
            <w:r>
              <w:t>Registered director of HR Wallingford Group Limited, HR Wallingford Limited and other subsidiaries.</w:t>
            </w:r>
          </w:p>
          <w:p w14:paraId="3F297034" w14:textId="12307E73" w:rsidR="00A51480" w:rsidRDefault="00A51480" w:rsidP="008D186F">
            <w:pPr>
              <w:pStyle w:val="Bullet1"/>
              <w:spacing w:before="40"/>
            </w:pPr>
            <w:r>
              <w:lastRenderedPageBreak/>
              <w:t>Support the Board in its objective of governance excellence advising where appropriate, maintaining terms of reference for the Board and committees, ownership of the delegation of authority.</w:t>
            </w:r>
          </w:p>
          <w:p w14:paraId="41367BBC" w14:textId="0071CECB" w:rsidR="00A51480" w:rsidRDefault="00A51480" w:rsidP="008D186F">
            <w:pPr>
              <w:pStyle w:val="Bullet1"/>
              <w:spacing w:before="40"/>
            </w:pPr>
            <w:r>
              <w:t>Supporting the success of the Staff Council – supporting the Chair, NEDs and SC - advising and responding to queries as appropriate and supporting the General Counsel with the Council election process.</w:t>
            </w:r>
          </w:p>
          <w:p w14:paraId="6235B8CE" w14:textId="71BEB262" w:rsidR="00A51480" w:rsidRDefault="00A51480" w:rsidP="008D186F">
            <w:pPr>
              <w:pStyle w:val="Bullet1"/>
              <w:spacing w:before="40"/>
            </w:pPr>
            <w:r>
              <w:t xml:space="preserve">Supporting the Chair with respect to quarterly and </w:t>
            </w:r>
            <w:proofErr w:type="spellStart"/>
            <w:r>
              <w:t>adhoc</w:t>
            </w:r>
            <w:proofErr w:type="spellEnd"/>
            <w:r>
              <w:t xml:space="preserve"> Board meetings and reports and the Annual General Meeting.</w:t>
            </w:r>
          </w:p>
          <w:p w14:paraId="41FFAB0D" w14:textId="77777777" w:rsidR="00A51480" w:rsidRPr="008D186F" w:rsidRDefault="00A51480" w:rsidP="00A51480">
            <w:pPr>
              <w:spacing w:after="0" w:line="240" w:lineRule="auto"/>
              <w:rPr>
                <w:b/>
                <w:bCs/>
              </w:rPr>
            </w:pPr>
            <w:r w:rsidRPr="008D186F">
              <w:rPr>
                <w:b/>
                <w:bCs/>
              </w:rPr>
              <w:t>Howbery Park</w:t>
            </w:r>
          </w:p>
          <w:p w14:paraId="0851E100" w14:textId="1959B9A7" w:rsidR="00A51480" w:rsidRDefault="00A51480" w:rsidP="008D186F">
            <w:pPr>
              <w:pStyle w:val="Bullet1"/>
              <w:spacing w:before="40"/>
            </w:pPr>
            <w:r>
              <w:t>Management and leadership of the HPE team</w:t>
            </w:r>
          </w:p>
          <w:p w14:paraId="48317738" w14:textId="4191C043" w:rsidR="00A51480" w:rsidRDefault="00A51480" w:rsidP="008D186F">
            <w:pPr>
              <w:pStyle w:val="Bullet1"/>
              <w:spacing w:before="40"/>
            </w:pPr>
            <w:r>
              <w:t>Lead business planning and delivery including tenant management, rent and service charge management, delivery of hard and soft services and utilities, park safety</w:t>
            </w:r>
          </w:p>
          <w:p w14:paraId="2CB77E5B" w14:textId="2FD0BA59" w:rsidR="00A51480" w:rsidRDefault="00A51480" w:rsidP="008D186F">
            <w:pPr>
              <w:pStyle w:val="Bullet1"/>
              <w:spacing w:before="40"/>
            </w:pPr>
            <w:r>
              <w:t>Leadership of master planning and development opportunities.</w:t>
            </w:r>
          </w:p>
          <w:p w14:paraId="167728D3" w14:textId="3F0239A4" w:rsidR="00A51480" w:rsidRDefault="00A51480" w:rsidP="008D186F">
            <w:pPr>
              <w:pStyle w:val="Bullet1"/>
              <w:spacing w:before="40"/>
            </w:pPr>
            <w:r>
              <w:t>Executive responsibility for electrical safety management with support from HPE Technical Services Manager (Authorising Engineer).</w:t>
            </w:r>
          </w:p>
          <w:p w14:paraId="7465F03B" w14:textId="77777777" w:rsidR="00A51480" w:rsidRPr="008D186F" w:rsidRDefault="00A51480" w:rsidP="00A51480">
            <w:pPr>
              <w:spacing w:after="0" w:line="240" w:lineRule="auto"/>
              <w:rPr>
                <w:b/>
                <w:bCs/>
              </w:rPr>
            </w:pPr>
            <w:r w:rsidRPr="008D186F">
              <w:rPr>
                <w:b/>
                <w:bCs/>
              </w:rPr>
              <w:t>Information services</w:t>
            </w:r>
          </w:p>
          <w:p w14:paraId="05BDEF83" w14:textId="5E4ACC5C" w:rsidR="00A51480" w:rsidRDefault="00A51480" w:rsidP="008D186F">
            <w:pPr>
              <w:pStyle w:val="Bullet1"/>
              <w:spacing w:before="40"/>
            </w:pPr>
            <w:r>
              <w:t>Management and leadership of the IS team</w:t>
            </w:r>
          </w:p>
          <w:p w14:paraId="629A339A" w14:textId="6073FAAB" w:rsidR="00A51480" w:rsidRDefault="00A51480" w:rsidP="008D186F">
            <w:pPr>
              <w:pStyle w:val="Bullet1"/>
              <w:spacing w:before="40"/>
            </w:pPr>
            <w:r>
              <w:t>Supporting the Head of Information Services and the development and engagement of the IS team</w:t>
            </w:r>
          </w:p>
          <w:p w14:paraId="77945555" w14:textId="136338C3" w:rsidR="00D810AC" w:rsidRPr="0061426D" w:rsidRDefault="00A51480" w:rsidP="008D186F">
            <w:pPr>
              <w:pStyle w:val="Bullet1"/>
              <w:spacing w:before="40"/>
            </w:pPr>
            <w:r>
              <w:t>Development and delivery of IS capability that is responsive to business need, fit for purpose, secure and sustainable</w:t>
            </w:r>
          </w:p>
        </w:tc>
      </w:tr>
    </w:tbl>
    <w:p w14:paraId="1498B56F" w14:textId="77777777" w:rsidR="00D810AC" w:rsidRPr="00A61000" w:rsidRDefault="00D810AC" w:rsidP="00A61000">
      <w:pPr>
        <w:pStyle w:val="NoSpacing"/>
      </w:pPr>
    </w:p>
    <w:tbl>
      <w:tblPr>
        <w:tblStyle w:val="TableGrid"/>
        <w:tblW w:w="0" w:type="auto"/>
        <w:tbl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  <w:insideH w:val="single" w:sz="2" w:space="0" w:color="0C0C0C" w:themeColor="text1"/>
          <w:insideV w:val="single" w:sz="2" w:space="0" w:color="0C0C0C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D810AC" w:rsidRPr="00C04767" w14:paraId="44D5DE30" w14:textId="77777777" w:rsidTr="00332DFF">
        <w:tc>
          <w:tcPr>
            <w:tcW w:w="9854" w:type="dxa"/>
            <w:shd w:val="clear" w:color="auto" w:fill="F2F2F2" w:themeFill="background1" w:themeFillShade="F2"/>
          </w:tcPr>
          <w:p w14:paraId="41751C92" w14:textId="77777777" w:rsidR="00D810AC" w:rsidRPr="00C04767" w:rsidRDefault="00D810AC" w:rsidP="00332DFF">
            <w:pPr>
              <w:pStyle w:val="Heading2"/>
            </w:pPr>
            <w:r>
              <w:t>Job specific duties</w:t>
            </w:r>
          </w:p>
        </w:tc>
      </w:tr>
      <w:tr w:rsidR="00D810AC" w:rsidRPr="00C04767" w14:paraId="7C31F537" w14:textId="77777777" w:rsidTr="00332DFF">
        <w:tc>
          <w:tcPr>
            <w:tcW w:w="9854" w:type="dxa"/>
          </w:tcPr>
          <w:p w14:paraId="4CB81D17" w14:textId="77777777" w:rsidR="00A51480" w:rsidRPr="008D186F" w:rsidRDefault="00A51480" w:rsidP="00A51480">
            <w:pPr>
              <w:spacing w:after="0" w:line="240" w:lineRule="auto"/>
              <w:rPr>
                <w:b/>
                <w:bCs/>
              </w:rPr>
            </w:pPr>
            <w:r w:rsidRPr="008D186F">
              <w:rPr>
                <w:b/>
                <w:bCs/>
              </w:rPr>
              <w:t>QHSE</w:t>
            </w:r>
          </w:p>
          <w:p w14:paraId="4E40DAD0" w14:textId="6BBD96E7" w:rsidR="00A51480" w:rsidRDefault="00A51480" w:rsidP="008D186F">
            <w:pPr>
              <w:pStyle w:val="Bullet1"/>
              <w:spacing w:before="40"/>
            </w:pPr>
            <w:r>
              <w:t>Adherence to Company HSE and QA procedures.</w:t>
            </w:r>
          </w:p>
          <w:p w14:paraId="29174723" w14:textId="01547DAC" w:rsidR="00A51480" w:rsidRDefault="00A51480" w:rsidP="008D186F">
            <w:pPr>
              <w:pStyle w:val="Bullet1"/>
              <w:spacing w:before="40"/>
            </w:pPr>
            <w:r>
              <w:t>Continual review and improvement of quality procedures as they relate to business development function.</w:t>
            </w:r>
          </w:p>
          <w:p w14:paraId="7D10E0EE" w14:textId="77777777" w:rsidR="00A51480" w:rsidRPr="008D186F" w:rsidRDefault="00A51480" w:rsidP="00A51480">
            <w:pPr>
              <w:spacing w:after="0" w:line="240" w:lineRule="auto"/>
              <w:rPr>
                <w:b/>
                <w:bCs/>
              </w:rPr>
            </w:pPr>
            <w:r w:rsidRPr="008D186F">
              <w:rPr>
                <w:b/>
                <w:bCs/>
              </w:rPr>
              <w:t xml:space="preserve">Line management of: </w:t>
            </w:r>
          </w:p>
          <w:p w14:paraId="0B91F4CA" w14:textId="4E921D95" w:rsidR="00A51480" w:rsidRDefault="00A51480" w:rsidP="008D186F">
            <w:pPr>
              <w:pStyle w:val="Bullet1"/>
              <w:spacing w:before="40"/>
            </w:pPr>
            <w:r>
              <w:t>General Counsel</w:t>
            </w:r>
          </w:p>
          <w:p w14:paraId="79689344" w14:textId="62FFB74E" w:rsidR="00A51480" w:rsidRDefault="00A51480" w:rsidP="008D186F">
            <w:pPr>
              <w:pStyle w:val="Bullet1"/>
              <w:spacing w:before="40"/>
            </w:pPr>
            <w:r>
              <w:t>Financial Controller</w:t>
            </w:r>
          </w:p>
          <w:p w14:paraId="3BE68626" w14:textId="2ACD824C" w:rsidR="00A51480" w:rsidRDefault="00A51480" w:rsidP="008D186F">
            <w:pPr>
              <w:pStyle w:val="Bullet1"/>
              <w:spacing w:before="40"/>
            </w:pPr>
            <w:r>
              <w:t xml:space="preserve">Information Systems Architect </w:t>
            </w:r>
          </w:p>
          <w:p w14:paraId="15B52FC2" w14:textId="5DAB6FD2" w:rsidR="00A51480" w:rsidRDefault="00A51480" w:rsidP="008D186F">
            <w:pPr>
              <w:pStyle w:val="Bullet1"/>
              <w:spacing w:before="40"/>
            </w:pPr>
            <w:r>
              <w:t>Information Services Manager</w:t>
            </w:r>
          </w:p>
          <w:p w14:paraId="62F5D1AF" w14:textId="7C888D49" w:rsidR="00A51480" w:rsidRDefault="00A51480" w:rsidP="008D186F">
            <w:pPr>
              <w:pStyle w:val="Bullet1"/>
              <w:spacing w:before="40"/>
            </w:pPr>
            <w:r>
              <w:t xml:space="preserve">Secretary to Group Financial Director </w:t>
            </w:r>
          </w:p>
          <w:p w14:paraId="0B7A06DC" w14:textId="4A0418F4" w:rsidR="00A51480" w:rsidRDefault="00A51480" w:rsidP="008D186F">
            <w:pPr>
              <w:pStyle w:val="Bullet1"/>
              <w:spacing w:before="40"/>
            </w:pPr>
            <w:r>
              <w:t xml:space="preserve">HPE Management team. </w:t>
            </w:r>
          </w:p>
          <w:p w14:paraId="6365E90E" w14:textId="77777777" w:rsidR="00A51480" w:rsidRPr="008D186F" w:rsidRDefault="00A51480" w:rsidP="00A51480">
            <w:pPr>
              <w:spacing w:after="0" w:line="240" w:lineRule="auto"/>
              <w:rPr>
                <w:b/>
                <w:bCs/>
              </w:rPr>
            </w:pPr>
            <w:r w:rsidRPr="008D186F">
              <w:rPr>
                <w:b/>
                <w:bCs/>
              </w:rPr>
              <w:t>Key Relationships:</w:t>
            </w:r>
          </w:p>
          <w:p w14:paraId="57AAB4B2" w14:textId="1BA73506" w:rsidR="00A51480" w:rsidRDefault="00A51480" w:rsidP="008D186F">
            <w:pPr>
              <w:pStyle w:val="Bullet1"/>
              <w:spacing w:before="40"/>
            </w:pPr>
            <w:r>
              <w:t>Nonexecutive directors of HRW Group Limited especially Chairman of Audit Committee.</w:t>
            </w:r>
          </w:p>
          <w:p w14:paraId="4AE2FF1C" w14:textId="28D41E15" w:rsidR="00A51480" w:rsidRDefault="00A51480" w:rsidP="008D186F">
            <w:pPr>
              <w:pStyle w:val="Bullet1"/>
              <w:spacing w:before="40"/>
            </w:pPr>
            <w:r>
              <w:t>Executive Directors and Group Managers, HR Wallingford Ltd</w:t>
            </w:r>
          </w:p>
          <w:p w14:paraId="0161A4FA" w14:textId="57BC9DD2" w:rsidR="00A51480" w:rsidRDefault="00A51480" w:rsidP="008D186F">
            <w:pPr>
              <w:pStyle w:val="Bullet1"/>
              <w:spacing w:before="40"/>
            </w:pPr>
            <w:r>
              <w:t>Banks, legal advisors, auditors, insurance brokers and other external partners and advisors</w:t>
            </w:r>
          </w:p>
          <w:p w14:paraId="1A02A918" w14:textId="5582C536" w:rsidR="00A51480" w:rsidRDefault="00A51480" w:rsidP="008D186F">
            <w:pPr>
              <w:pStyle w:val="Bullet1"/>
              <w:spacing w:before="40"/>
            </w:pPr>
            <w:r>
              <w:t>Directors and Group Managers, HR Wallingford Ltd</w:t>
            </w:r>
          </w:p>
          <w:p w14:paraId="731DBFE1" w14:textId="36952013" w:rsidR="00A51480" w:rsidRDefault="00A51480" w:rsidP="008D186F">
            <w:pPr>
              <w:pStyle w:val="Bullet1"/>
              <w:spacing w:before="40"/>
            </w:pPr>
            <w:r>
              <w:t xml:space="preserve">Trustees and advisors to the Group Defined Benefit pension Scheme </w:t>
            </w:r>
          </w:p>
          <w:p w14:paraId="5BB9A669" w14:textId="17415D3C" w:rsidR="00D810AC" w:rsidRPr="003855F8" w:rsidRDefault="00A51480" w:rsidP="008D186F">
            <w:pPr>
              <w:pStyle w:val="Bullet1"/>
              <w:spacing w:before="40"/>
            </w:pPr>
            <w:r>
              <w:t xml:space="preserve">Company Members, including Staff Council. </w:t>
            </w:r>
          </w:p>
        </w:tc>
      </w:tr>
    </w:tbl>
    <w:p w14:paraId="23992E7A" w14:textId="77777777" w:rsidR="00D810AC" w:rsidRDefault="00D810AC" w:rsidP="00D810AC">
      <w:pPr>
        <w:pStyle w:val="NoSpacing"/>
        <w:rPr>
          <w:u w:val="single"/>
        </w:rPr>
      </w:pPr>
    </w:p>
    <w:tbl>
      <w:tblPr>
        <w:tblStyle w:val="TableGrid"/>
        <w:tblW w:w="0" w:type="auto"/>
        <w:tbl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  <w:insideH w:val="single" w:sz="2" w:space="0" w:color="0C0C0C" w:themeColor="text1"/>
          <w:insideV w:val="single" w:sz="2" w:space="0" w:color="0C0C0C" w:themeColor="text1"/>
        </w:tblBorders>
        <w:tblCellMar>
          <w:top w:w="85" w:type="dxa"/>
          <w:bottom w:w="85" w:type="dxa"/>
        </w:tblCellMar>
        <w:tblLook w:val="0200" w:firstRow="0" w:lastRow="0" w:firstColumn="0" w:lastColumn="0" w:noHBand="1" w:noVBand="0"/>
      </w:tblPr>
      <w:tblGrid>
        <w:gridCol w:w="2684"/>
        <w:gridCol w:w="6934"/>
      </w:tblGrid>
      <w:tr w:rsidR="00D810AC" w:rsidRPr="00C04767" w14:paraId="29CB524E" w14:textId="77777777" w:rsidTr="0077515F">
        <w:trPr>
          <w:trHeight w:val="152"/>
        </w:trPr>
        <w:tc>
          <w:tcPr>
            <w:tcW w:w="2684" w:type="dxa"/>
            <w:shd w:val="clear" w:color="auto" w:fill="F2F2F2" w:themeFill="background1" w:themeFillShade="F2"/>
          </w:tcPr>
          <w:p w14:paraId="4698BC96" w14:textId="77777777" w:rsidR="00D810AC" w:rsidRPr="00C04767" w:rsidRDefault="0077515F" w:rsidP="00332DFF">
            <w:pPr>
              <w:pStyle w:val="Heading2"/>
            </w:pPr>
            <w:r>
              <w:t>Group</w:t>
            </w:r>
          </w:p>
        </w:tc>
        <w:tc>
          <w:tcPr>
            <w:tcW w:w="6934" w:type="dxa"/>
            <w:shd w:val="clear" w:color="auto" w:fill="FFFFFF" w:themeFill="background1"/>
          </w:tcPr>
          <w:p w14:paraId="6C879E28" w14:textId="77777777" w:rsidR="00D810AC" w:rsidRPr="00C04767" w:rsidRDefault="00D810AC" w:rsidP="007927F8"/>
        </w:tc>
      </w:tr>
      <w:tr w:rsidR="00D810AC" w:rsidRPr="00C04767" w14:paraId="27BE6B49" w14:textId="77777777" w:rsidTr="0077515F">
        <w:tc>
          <w:tcPr>
            <w:tcW w:w="2684" w:type="dxa"/>
            <w:shd w:val="clear" w:color="auto" w:fill="F2F2F2" w:themeFill="background1" w:themeFillShade="F2"/>
          </w:tcPr>
          <w:p w14:paraId="782131DB" w14:textId="77777777" w:rsidR="00D810AC" w:rsidRPr="00C04767" w:rsidRDefault="0077515F" w:rsidP="00332DFF">
            <w:pPr>
              <w:pStyle w:val="Heading2"/>
            </w:pPr>
            <w:r>
              <w:t>Reports to</w:t>
            </w:r>
          </w:p>
        </w:tc>
        <w:tc>
          <w:tcPr>
            <w:tcW w:w="6934" w:type="dxa"/>
            <w:shd w:val="clear" w:color="auto" w:fill="FFFFFF" w:themeFill="background1"/>
          </w:tcPr>
          <w:p w14:paraId="2C828F41" w14:textId="3CFDFC43" w:rsidR="00D810AC" w:rsidRPr="00C04767" w:rsidRDefault="00A51480" w:rsidP="007927F8">
            <w:r w:rsidRPr="00A51480">
              <w:t>Interim Chief Executive</w:t>
            </w:r>
          </w:p>
        </w:tc>
      </w:tr>
      <w:tr w:rsidR="00D810AC" w:rsidRPr="00C04767" w14:paraId="2AAA3B84" w14:textId="77777777" w:rsidTr="0077515F">
        <w:tc>
          <w:tcPr>
            <w:tcW w:w="2684" w:type="dxa"/>
            <w:shd w:val="clear" w:color="auto" w:fill="F2F2F2" w:themeFill="background1" w:themeFillShade="F2"/>
          </w:tcPr>
          <w:p w14:paraId="4F268B9D" w14:textId="77777777" w:rsidR="00D810AC" w:rsidRDefault="0077515F" w:rsidP="00332DFF">
            <w:pPr>
              <w:pStyle w:val="Heading2"/>
            </w:pPr>
            <w:r>
              <w:t>Responsible for</w:t>
            </w:r>
          </w:p>
        </w:tc>
        <w:tc>
          <w:tcPr>
            <w:tcW w:w="6934" w:type="dxa"/>
            <w:shd w:val="clear" w:color="auto" w:fill="FFFFFF" w:themeFill="background1"/>
          </w:tcPr>
          <w:p w14:paraId="14C6D370" w14:textId="77777777" w:rsidR="00D810AC" w:rsidRDefault="00D810AC" w:rsidP="007927F8"/>
        </w:tc>
      </w:tr>
      <w:tr w:rsidR="00D810AC" w:rsidRPr="00C04767" w14:paraId="3A788D52" w14:textId="77777777" w:rsidTr="0077515F">
        <w:tc>
          <w:tcPr>
            <w:tcW w:w="2684" w:type="dxa"/>
            <w:shd w:val="clear" w:color="auto" w:fill="F2F2F2" w:themeFill="background1" w:themeFillShade="F2"/>
          </w:tcPr>
          <w:p w14:paraId="5FBA09E6" w14:textId="77777777" w:rsidR="00D810AC" w:rsidRDefault="00D810AC" w:rsidP="00332DFF">
            <w:pPr>
              <w:pStyle w:val="Heading2"/>
            </w:pPr>
            <w:r>
              <w:t>Date agreed</w:t>
            </w:r>
          </w:p>
        </w:tc>
        <w:tc>
          <w:tcPr>
            <w:tcW w:w="6934" w:type="dxa"/>
            <w:shd w:val="clear" w:color="auto" w:fill="FFFFFF" w:themeFill="background1"/>
          </w:tcPr>
          <w:p w14:paraId="7F1A9950" w14:textId="77777777" w:rsidR="00D810AC" w:rsidRDefault="00D810AC" w:rsidP="007927F8"/>
        </w:tc>
      </w:tr>
    </w:tbl>
    <w:p w14:paraId="3DD254FC" w14:textId="77777777" w:rsidR="00D810AC" w:rsidRPr="0077515F" w:rsidRDefault="00D810AC" w:rsidP="0077515F"/>
    <w:sectPr w:rsidR="00D810AC" w:rsidRPr="0077515F" w:rsidSect="00CA6B33">
      <w:headerReference w:type="default" r:id="rId9"/>
      <w:footerReference w:type="default" r:id="rId10"/>
      <w:pgSz w:w="11906" w:h="16838" w:code="9"/>
      <w:pgMar w:top="1418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BFBC" w14:textId="77777777" w:rsidR="00E2729A" w:rsidRDefault="00E2729A" w:rsidP="00700852">
      <w:pPr>
        <w:spacing w:line="240" w:lineRule="auto"/>
      </w:pPr>
      <w:r>
        <w:separator/>
      </w:r>
    </w:p>
  </w:endnote>
  <w:endnote w:type="continuationSeparator" w:id="0">
    <w:p w14:paraId="23A3AA78" w14:textId="77777777" w:rsidR="00E2729A" w:rsidRDefault="00E2729A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0"/>
      <w:gridCol w:w="4808"/>
    </w:tblGrid>
    <w:tr w:rsidR="004E3DC1" w:rsidRPr="007853F7" w14:paraId="6627F38E" w14:textId="77777777" w:rsidTr="00E906E1">
      <w:tc>
        <w:tcPr>
          <w:tcW w:w="4927" w:type="dxa"/>
        </w:tcPr>
        <w:p w14:paraId="05FE527F" w14:textId="77777777" w:rsidR="004E3DC1" w:rsidRDefault="004E3DC1" w:rsidP="004E3DC1">
          <w:pPr>
            <w:pStyle w:val="NoSpacing"/>
            <w:rPr>
              <w:sz w:val="16"/>
              <w:szCs w:val="16"/>
            </w:rPr>
          </w:pPr>
          <w:r w:rsidRPr="004E3DC1">
            <w:rPr>
              <w:sz w:val="16"/>
              <w:szCs w:val="16"/>
            </w:rPr>
            <w:t>FM</w:t>
          </w:r>
          <w:r w:rsidR="00307F58">
            <w:rPr>
              <w:sz w:val="16"/>
              <w:szCs w:val="16"/>
            </w:rPr>
            <w:t>106</w:t>
          </w:r>
          <w:r w:rsidRPr="004E3DC1">
            <w:rPr>
              <w:sz w:val="16"/>
              <w:szCs w:val="16"/>
            </w:rPr>
            <w:t xml:space="preserve"> </w:t>
          </w:r>
          <w:r w:rsidR="00A61000">
            <w:rPr>
              <w:sz w:val="16"/>
              <w:szCs w:val="16"/>
            </w:rPr>
            <w:t>Job description</w:t>
          </w:r>
          <w:r w:rsidRPr="004E3DC1">
            <w:rPr>
              <w:sz w:val="16"/>
              <w:szCs w:val="16"/>
            </w:rPr>
            <w:t xml:space="preserve"> R</w:t>
          </w:r>
          <w:r w:rsidR="00307F58">
            <w:rPr>
              <w:sz w:val="16"/>
              <w:szCs w:val="16"/>
            </w:rPr>
            <w:t>1</w:t>
          </w:r>
          <w:r w:rsidRPr="004E3DC1">
            <w:rPr>
              <w:sz w:val="16"/>
              <w:szCs w:val="16"/>
            </w:rPr>
            <w:t>-0</w:t>
          </w:r>
        </w:p>
        <w:p w14:paraId="08AF92E1" w14:textId="77777777" w:rsidR="004E3DC1" w:rsidRDefault="00CA6B33" w:rsidP="004E3DC1">
          <w:pPr>
            <w:pStyle w:val="NoSpacing"/>
            <w:rPr>
              <w:sz w:val="16"/>
              <w:szCs w:val="16"/>
            </w:rPr>
          </w:pPr>
          <w:r w:rsidRPr="00CA6B33">
            <w:rPr>
              <w:sz w:val="16"/>
              <w:szCs w:val="16"/>
            </w:rPr>
            <w:t>1</w:t>
          </w:r>
          <w:r w:rsidR="00A61000">
            <w:rPr>
              <w:sz w:val="16"/>
              <w:szCs w:val="16"/>
            </w:rPr>
            <w:t>6</w:t>
          </w:r>
          <w:r w:rsidR="004E3DC1" w:rsidRPr="00CA6B33">
            <w:rPr>
              <w:sz w:val="16"/>
              <w:szCs w:val="16"/>
            </w:rPr>
            <w:t xml:space="preserve"> </w:t>
          </w:r>
          <w:r w:rsidR="00A61000">
            <w:rPr>
              <w:sz w:val="16"/>
              <w:szCs w:val="16"/>
            </w:rPr>
            <w:t>May</w:t>
          </w:r>
          <w:r w:rsidR="004E3DC1" w:rsidRPr="00CA6B33">
            <w:rPr>
              <w:sz w:val="16"/>
              <w:szCs w:val="16"/>
            </w:rPr>
            <w:t xml:space="preserve"> 202</w:t>
          </w:r>
          <w:r w:rsidRPr="00CA6B33">
            <w:rPr>
              <w:sz w:val="16"/>
              <w:szCs w:val="16"/>
            </w:rPr>
            <w:t>3</w:t>
          </w:r>
        </w:p>
        <w:p w14:paraId="52A272D1" w14:textId="77777777" w:rsidR="004E3DC1" w:rsidRPr="007853F7" w:rsidRDefault="004E3DC1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UNCONTROLLED WHEN PRINTED</w:t>
          </w:r>
        </w:p>
      </w:tc>
      <w:tc>
        <w:tcPr>
          <w:tcW w:w="4927" w:type="dxa"/>
          <w:vAlign w:val="bottom"/>
        </w:tcPr>
        <w:p w14:paraId="3D1B94CB" w14:textId="77777777" w:rsidR="004E3DC1" w:rsidRPr="007853F7" w:rsidRDefault="004E3DC1" w:rsidP="004E3DC1">
          <w:pPr>
            <w:pStyle w:val="NoSpacing"/>
            <w:jc w:val="right"/>
            <w:rPr>
              <w:sz w:val="16"/>
              <w:szCs w:val="16"/>
            </w:rPr>
          </w:pPr>
          <w:r w:rsidRPr="007853F7">
            <w:rPr>
              <w:sz w:val="16"/>
              <w:szCs w:val="16"/>
            </w:rPr>
            <w:t xml:space="preserve">Page </w:t>
          </w:r>
          <w:r w:rsidRPr="007853F7">
            <w:rPr>
              <w:sz w:val="16"/>
              <w:szCs w:val="16"/>
            </w:rPr>
            <w:fldChar w:fldCharType="begin"/>
          </w:r>
          <w:r w:rsidRPr="007853F7">
            <w:rPr>
              <w:sz w:val="16"/>
              <w:szCs w:val="16"/>
            </w:rPr>
            <w:instrText xml:space="preserve"> PAGE   \* MERGEFORMAT </w:instrText>
          </w:r>
          <w:r w:rsidRPr="007853F7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7853F7">
            <w:rPr>
              <w:noProof/>
              <w:sz w:val="16"/>
              <w:szCs w:val="16"/>
            </w:rPr>
            <w:fldChar w:fldCharType="end"/>
          </w:r>
        </w:p>
      </w:tc>
    </w:tr>
  </w:tbl>
  <w:p w14:paraId="25B77730" w14:textId="77777777" w:rsidR="007025E4" w:rsidRPr="004E3DC1" w:rsidRDefault="007025E4" w:rsidP="004E3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7F53" w14:textId="77777777" w:rsidR="00E2729A" w:rsidRDefault="00E2729A" w:rsidP="00700852">
      <w:pPr>
        <w:spacing w:line="240" w:lineRule="auto"/>
      </w:pPr>
      <w:r>
        <w:separator/>
      </w:r>
    </w:p>
  </w:footnote>
  <w:footnote w:type="continuationSeparator" w:id="0">
    <w:p w14:paraId="6F3A7D5A" w14:textId="77777777" w:rsidR="00E2729A" w:rsidRDefault="00E2729A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654"/>
    </w:tblGrid>
    <w:tr w:rsidR="004E3DC1" w14:paraId="2C5EC760" w14:textId="77777777" w:rsidTr="00A61000">
      <w:tc>
        <w:tcPr>
          <w:tcW w:w="1985" w:type="dxa"/>
          <w:vAlign w:val="bottom"/>
        </w:tcPr>
        <w:p w14:paraId="1C8A6877" w14:textId="77777777" w:rsidR="004E3DC1" w:rsidRDefault="004E3DC1" w:rsidP="004E3DC1">
          <w:r>
            <w:rPr>
              <w:noProof/>
            </w:rPr>
            <w:drawing>
              <wp:inline distT="0" distB="0" distL="0" distR="0" wp14:anchorId="13E825AD" wp14:editId="4BFA2661">
                <wp:extent cx="999731" cy="540000"/>
                <wp:effectExtent l="0" t="0" r="0" b="0"/>
                <wp:docPr id="4" name="Picture 4" descr="A picture containing text, outdoor, sign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outdoor, sign, vector graphic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7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2077048949"/>
          <w:placeholder>
            <w:docPart w:val="EDF997E5AD844BC5A5331F54BE0B14B9"/>
          </w:placeholder>
        </w:sdtPr>
        <w:sdtContent>
          <w:tc>
            <w:tcPr>
              <w:tcW w:w="7654" w:type="dxa"/>
              <w:vAlign w:val="center"/>
            </w:tcPr>
            <w:p w14:paraId="04D64D43" w14:textId="77777777" w:rsidR="004E3DC1" w:rsidRPr="00905063" w:rsidRDefault="003B18E8" w:rsidP="004E3DC1">
              <w:pPr>
                <w:jc w:val="right"/>
              </w:pPr>
              <w:r w:rsidRPr="003B18E8">
                <w:rPr>
                  <w:sz w:val="44"/>
                  <w:szCs w:val="44"/>
                </w:rPr>
                <w:t>Job description</w:t>
              </w:r>
            </w:p>
          </w:tc>
        </w:sdtContent>
      </w:sdt>
    </w:tr>
  </w:tbl>
  <w:p w14:paraId="4B138504" w14:textId="77777777" w:rsidR="007025E4" w:rsidRPr="004E3DC1" w:rsidRDefault="007025E4" w:rsidP="004E3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BE3F5C"/>
    <w:multiLevelType w:val="hybridMultilevel"/>
    <w:tmpl w:val="C248D3C0"/>
    <w:lvl w:ilvl="0" w:tplc="EF5C3A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C5602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C5602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FC5602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FC5602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261960354">
    <w:abstractNumId w:val="0"/>
  </w:num>
  <w:num w:numId="2" w16cid:durableId="418526852">
    <w:abstractNumId w:val="0"/>
  </w:num>
  <w:num w:numId="3" w16cid:durableId="275672497">
    <w:abstractNumId w:val="0"/>
  </w:num>
  <w:num w:numId="4" w16cid:durableId="935290479">
    <w:abstractNumId w:val="3"/>
  </w:num>
  <w:num w:numId="5" w16cid:durableId="447894663">
    <w:abstractNumId w:val="3"/>
  </w:num>
  <w:num w:numId="6" w16cid:durableId="504169842">
    <w:abstractNumId w:val="3"/>
  </w:num>
  <w:num w:numId="7" w16cid:durableId="972634914">
    <w:abstractNumId w:val="7"/>
  </w:num>
  <w:num w:numId="8" w16cid:durableId="1148597110">
    <w:abstractNumId w:val="7"/>
  </w:num>
  <w:num w:numId="9" w16cid:durableId="684088220">
    <w:abstractNumId w:val="7"/>
  </w:num>
  <w:num w:numId="10" w16cid:durableId="856621819">
    <w:abstractNumId w:val="6"/>
  </w:num>
  <w:num w:numId="11" w16cid:durableId="2088726244">
    <w:abstractNumId w:val="5"/>
  </w:num>
  <w:num w:numId="12" w16cid:durableId="481504819">
    <w:abstractNumId w:val="5"/>
  </w:num>
  <w:num w:numId="13" w16cid:durableId="1365790070">
    <w:abstractNumId w:val="5"/>
  </w:num>
  <w:num w:numId="14" w16cid:durableId="68813226">
    <w:abstractNumId w:val="0"/>
  </w:num>
  <w:num w:numId="15" w16cid:durableId="988435399">
    <w:abstractNumId w:val="0"/>
  </w:num>
  <w:num w:numId="16" w16cid:durableId="157888620">
    <w:abstractNumId w:val="0"/>
  </w:num>
  <w:num w:numId="17" w16cid:durableId="273710259">
    <w:abstractNumId w:val="3"/>
  </w:num>
  <w:num w:numId="18" w16cid:durableId="346098271">
    <w:abstractNumId w:val="3"/>
  </w:num>
  <w:num w:numId="19" w16cid:durableId="1161772556">
    <w:abstractNumId w:val="3"/>
  </w:num>
  <w:num w:numId="20" w16cid:durableId="701395022">
    <w:abstractNumId w:val="7"/>
  </w:num>
  <w:num w:numId="21" w16cid:durableId="2063675099">
    <w:abstractNumId w:val="7"/>
  </w:num>
  <w:num w:numId="22" w16cid:durableId="1116826378">
    <w:abstractNumId w:val="7"/>
  </w:num>
  <w:num w:numId="23" w16cid:durableId="1002468106">
    <w:abstractNumId w:val="6"/>
  </w:num>
  <w:num w:numId="24" w16cid:durableId="165368926">
    <w:abstractNumId w:val="4"/>
  </w:num>
  <w:num w:numId="25" w16cid:durableId="2030176067">
    <w:abstractNumId w:val="4"/>
  </w:num>
  <w:num w:numId="26" w16cid:durableId="445925711">
    <w:abstractNumId w:val="4"/>
  </w:num>
  <w:num w:numId="27" w16cid:durableId="1662463095">
    <w:abstractNumId w:val="3"/>
  </w:num>
  <w:num w:numId="28" w16cid:durableId="1052122689">
    <w:abstractNumId w:val="3"/>
  </w:num>
  <w:num w:numId="29" w16cid:durableId="1845702215">
    <w:abstractNumId w:val="3"/>
  </w:num>
  <w:num w:numId="30" w16cid:durableId="1731920504">
    <w:abstractNumId w:val="3"/>
  </w:num>
  <w:num w:numId="31" w16cid:durableId="1111166296">
    <w:abstractNumId w:val="3"/>
  </w:num>
  <w:num w:numId="32" w16cid:durableId="351228077">
    <w:abstractNumId w:val="3"/>
  </w:num>
  <w:num w:numId="33" w16cid:durableId="859051438">
    <w:abstractNumId w:val="1"/>
  </w:num>
  <w:num w:numId="34" w16cid:durableId="2071877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80"/>
    <w:rsid w:val="000423F2"/>
    <w:rsid w:val="00065A39"/>
    <w:rsid w:val="0009036E"/>
    <w:rsid w:val="000A2BD7"/>
    <w:rsid w:val="000D441F"/>
    <w:rsid w:val="000E1535"/>
    <w:rsid w:val="000E77A8"/>
    <w:rsid w:val="00157DEB"/>
    <w:rsid w:val="00174F83"/>
    <w:rsid w:val="001827FF"/>
    <w:rsid w:val="002337A7"/>
    <w:rsid w:val="00257147"/>
    <w:rsid w:val="00293552"/>
    <w:rsid w:val="002A1C9A"/>
    <w:rsid w:val="002E27D8"/>
    <w:rsid w:val="002E45B7"/>
    <w:rsid w:val="002E7D6B"/>
    <w:rsid w:val="00307F58"/>
    <w:rsid w:val="0031301F"/>
    <w:rsid w:val="00332F98"/>
    <w:rsid w:val="00341B93"/>
    <w:rsid w:val="00350EBF"/>
    <w:rsid w:val="00357132"/>
    <w:rsid w:val="003B18E8"/>
    <w:rsid w:val="003E341B"/>
    <w:rsid w:val="003F475A"/>
    <w:rsid w:val="00410738"/>
    <w:rsid w:val="004303FB"/>
    <w:rsid w:val="00477D4C"/>
    <w:rsid w:val="004B64AB"/>
    <w:rsid w:val="004E3DC1"/>
    <w:rsid w:val="00500C49"/>
    <w:rsid w:val="005142A9"/>
    <w:rsid w:val="00570969"/>
    <w:rsid w:val="00573E3C"/>
    <w:rsid w:val="00581AB1"/>
    <w:rsid w:val="00590058"/>
    <w:rsid w:val="005A7F10"/>
    <w:rsid w:val="00622870"/>
    <w:rsid w:val="0063405F"/>
    <w:rsid w:val="00657620"/>
    <w:rsid w:val="00663E60"/>
    <w:rsid w:val="00677483"/>
    <w:rsid w:val="00695743"/>
    <w:rsid w:val="006964CF"/>
    <w:rsid w:val="006E3966"/>
    <w:rsid w:val="00700852"/>
    <w:rsid w:val="007025E4"/>
    <w:rsid w:val="00737A4D"/>
    <w:rsid w:val="007510F2"/>
    <w:rsid w:val="00756B8E"/>
    <w:rsid w:val="0077515F"/>
    <w:rsid w:val="007853F7"/>
    <w:rsid w:val="007927F8"/>
    <w:rsid w:val="00795BAE"/>
    <w:rsid w:val="007C4F19"/>
    <w:rsid w:val="00823589"/>
    <w:rsid w:val="00857290"/>
    <w:rsid w:val="00857458"/>
    <w:rsid w:val="0086617D"/>
    <w:rsid w:val="0088240E"/>
    <w:rsid w:val="00884A2E"/>
    <w:rsid w:val="008B2E14"/>
    <w:rsid w:val="008B36EA"/>
    <w:rsid w:val="008D186F"/>
    <w:rsid w:val="008D4E88"/>
    <w:rsid w:val="00905063"/>
    <w:rsid w:val="00905B88"/>
    <w:rsid w:val="009431DF"/>
    <w:rsid w:val="009635F3"/>
    <w:rsid w:val="009A07EE"/>
    <w:rsid w:val="009C04CF"/>
    <w:rsid w:val="009E7381"/>
    <w:rsid w:val="00A079EE"/>
    <w:rsid w:val="00A24B3A"/>
    <w:rsid w:val="00A33BCD"/>
    <w:rsid w:val="00A44079"/>
    <w:rsid w:val="00A51480"/>
    <w:rsid w:val="00A61000"/>
    <w:rsid w:val="00A7625C"/>
    <w:rsid w:val="00AA72F4"/>
    <w:rsid w:val="00AC0AB9"/>
    <w:rsid w:val="00B26A9E"/>
    <w:rsid w:val="00B372F3"/>
    <w:rsid w:val="00BB4B48"/>
    <w:rsid w:val="00BC3E3B"/>
    <w:rsid w:val="00BC5625"/>
    <w:rsid w:val="00BF47AE"/>
    <w:rsid w:val="00C0439E"/>
    <w:rsid w:val="00C04767"/>
    <w:rsid w:val="00C16285"/>
    <w:rsid w:val="00C91BFA"/>
    <w:rsid w:val="00CA6B33"/>
    <w:rsid w:val="00CF46EC"/>
    <w:rsid w:val="00CF7905"/>
    <w:rsid w:val="00D30C0A"/>
    <w:rsid w:val="00D604F5"/>
    <w:rsid w:val="00D810AC"/>
    <w:rsid w:val="00DB3389"/>
    <w:rsid w:val="00DF2A7D"/>
    <w:rsid w:val="00DF7B14"/>
    <w:rsid w:val="00E2729A"/>
    <w:rsid w:val="00E55DB1"/>
    <w:rsid w:val="00E62F42"/>
    <w:rsid w:val="00E975D2"/>
    <w:rsid w:val="00EE54D5"/>
    <w:rsid w:val="00F47575"/>
    <w:rsid w:val="00F514FE"/>
    <w:rsid w:val="00F7411C"/>
    <w:rsid w:val="00F85D01"/>
    <w:rsid w:val="00FB0218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DA952"/>
  <w15:docId w15:val="{38D9602F-29A9-4951-B2EB-7BB1B4A7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C1"/>
    <w:rPr>
      <w:rFonts w:ascii="Epilogue" w:hAnsi="Epilogue"/>
      <w:color w:val="0C0C0C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4E3DC1"/>
    <w:pPr>
      <w:spacing w:before="120" w:after="120"/>
      <w:contextualSpacing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qFormat/>
    <w:rsid w:val="004E3DC1"/>
    <w:pPr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BC3F01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CFD" w:themeFill="accent6" w:themeFillTint="33"/>
    </w:tcPr>
    <w:tblStylePr w:type="firstRow">
      <w:rPr>
        <w:b/>
        <w:bCs/>
      </w:rPr>
      <w:tblPr/>
      <w:tcPr>
        <w:shd w:val="clear" w:color="auto" w:fill="CBB9FB" w:themeFill="accent6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CBB9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band1Vert">
      <w:tblPr/>
      <w:tcPr>
        <w:shd w:val="clear" w:color="auto" w:fill="BFA8FA" w:themeFill="accent6" w:themeFillTint="7F"/>
      </w:tcPr>
    </w:tblStylePr>
    <w:tblStylePr w:type="band1Horz">
      <w:tblPr/>
      <w:tcPr>
        <w:shd w:val="clear" w:color="auto" w:fill="BFA8F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qFormat/>
    <w:rsid w:val="004E3DC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E3DC1"/>
    <w:rPr>
      <w:rFonts w:ascii="Epilogue" w:eastAsiaTheme="majorEastAsia" w:hAnsi="Epilogue" w:cstheme="majorBidi"/>
      <w:color w:val="0C0C0C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4E3DC1"/>
    <w:rPr>
      <w:rFonts w:ascii="Epilogue" w:eastAsiaTheme="majorEastAsia" w:hAnsi="Epilogue" w:cstheme="majorBidi"/>
      <w:bCs/>
      <w:color w:val="0C0C0C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4E3DC1"/>
    <w:rPr>
      <w:rFonts w:ascii="Epilogue" w:eastAsiaTheme="majorEastAsia" w:hAnsi="Epilogue" w:cstheme="majorBidi"/>
      <w:b/>
      <w:bCs/>
      <w:color w:val="0C0C0C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0C0C0C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0C0C0C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FC5602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0C0C0C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qFormat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0C0C0C" w:themeColor="text1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Job%20descrip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F997E5AD844BC5A5331F54BE0B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AA9B-D80B-4A69-9268-116E2E2044E7}"/>
      </w:docPartPr>
      <w:docPartBody>
        <w:p w:rsidR="00000000" w:rsidRDefault="00000000">
          <w:pPr>
            <w:pStyle w:val="EDF997E5AD844BC5A5331F54BE0B14B9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D38947651467B8F0FF58979A9D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F437F-E1BA-4B27-82B1-5E95D7586D90}"/>
      </w:docPartPr>
      <w:docPartBody>
        <w:p w:rsidR="00000000" w:rsidRDefault="00000000">
          <w:pPr>
            <w:pStyle w:val="0B6D38947651467B8F0FF58979A9DD64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BF"/>
    <w:rsid w:val="000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997E5AD844BC5A5331F54BE0B14B9">
    <w:name w:val="EDF997E5AD844BC5A5331F54BE0B14B9"/>
  </w:style>
  <w:style w:type="paragraph" w:customStyle="1" w:styleId="0B6D38947651467B8F0FF58979A9DD64">
    <w:name w:val="0B6D38947651467B8F0FF58979A9D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HR Wallingford rebrand">
  <a:themeElements>
    <a:clrScheme name="HR Wallingford">
      <a:dk1>
        <a:srgbClr val="0C0C0C"/>
      </a:dk1>
      <a:lt1>
        <a:sysClr val="window" lastClr="FFFFFF"/>
      </a:lt1>
      <a:dk2>
        <a:srgbClr val="003F5A"/>
      </a:dk2>
      <a:lt2>
        <a:srgbClr val="E5E5E5"/>
      </a:lt2>
      <a:accent1>
        <a:srgbClr val="FC5602"/>
      </a:accent1>
      <a:accent2>
        <a:srgbClr val="003F5A"/>
      </a:accent2>
      <a:accent3>
        <a:srgbClr val="A5A5A5"/>
      </a:accent3>
      <a:accent4>
        <a:srgbClr val="7FF6E8"/>
      </a:accent4>
      <a:accent5>
        <a:srgbClr val="5ACA8F"/>
      </a:accent5>
      <a:accent6>
        <a:srgbClr val="8052F6"/>
      </a:accent6>
      <a:hlink>
        <a:srgbClr val="FC5602"/>
      </a:hlink>
      <a:folHlink>
        <a:srgbClr val="003F5A"/>
      </a:folHlink>
    </a:clrScheme>
    <a:fontScheme name="HR Wallingford Epilogue theme fonts">
      <a:majorFont>
        <a:latin typeface="Epilogue SemiBold"/>
        <a:ea typeface=""/>
        <a:cs typeface=""/>
      </a:majorFont>
      <a:minorFont>
        <a:latin typeface="Epilogu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A0A71-290F-4657-85AE-E7111DBF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description.dotx</Template>
  <TotalTime>6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Driver declaration FM020-R5-0.dotx : GLOBAL_VERSION=1.17 : GLOBAL_DATE=28 September 2022</vt:lpstr>
    </vt:vector>
  </TitlesOfParts>
  <Company>HR Wallingford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FM106 R1</dc:title>
  <dc:creator>Helen Stevenson</dc:creator>
  <dc:description>Document last saved:_x000d_
User: hls (EINICH)_x000d_
When: Wed 15 February 2023 10:19</dc:description>
  <cp:lastModifiedBy>Helen Stevenson</cp:lastModifiedBy>
  <cp:revision>2</cp:revision>
  <cp:lastPrinted>2016-09-12T14:00:00Z</cp:lastPrinted>
  <dcterms:created xsi:type="dcterms:W3CDTF">2024-01-04T12:05:00Z</dcterms:created>
  <dcterms:modified xsi:type="dcterms:W3CDTF">2024-01-04T12:12:00Z</dcterms:modified>
</cp:coreProperties>
</file>