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9BC80" w14:textId="62CDEAA8" w:rsidR="00CA6B33" w:rsidRDefault="00000000" w:rsidP="008B2E14">
      <w:pPr>
        <w:pStyle w:val="Heading1"/>
      </w:pPr>
      <w:sdt>
        <w:sdtPr>
          <w:rPr>
            <w:b/>
            <w:bCs w:val="0"/>
          </w:rPr>
          <w:id w:val="182320011"/>
          <w:lock w:val="contentLocked"/>
          <w:placeholder>
            <w:docPart w:val="A74DFB92DAE347A388197FCD4CFB5B07"/>
          </w:placeholder>
        </w:sdtPr>
        <w:sdtContent>
          <w:r w:rsidR="00307F58" w:rsidRPr="0031301F">
            <w:rPr>
              <w:b/>
              <w:bCs w:val="0"/>
            </w:rPr>
            <w:t>Job title:</w:t>
          </w:r>
          <w:r w:rsidR="00307F58">
            <w:rPr>
              <w:b/>
              <w:bCs w:val="0"/>
            </w:rPr>
            <w:t xml:space="preserve"> </w:t>
          </w:r>
        </w:sdtContent>
      </w:sdt>
      <w:sdt>
        <w:sdtPr>
          <w:id w:val="-1042281473"/>
          <w:placeholder>
            <w:docPart w:val="9748584BA7ED4B7C97B1713DA6BDDB3B"/>
          </w:placeholder>
        </w:sdtPr>
        <w:sdtContent>
          <w:r w:rsidR="00FB584F" w:rsidRPr="00FB584F">
            <w:t>Group Manager (Equipment, Technology and Innovation)</w:t>
          </w:r>
        </w:sdtContent>
      </w:sdt>
    </w:p>
    <w:p w14:paraId="4F015C81" w14:textId="77777777" w:rsidR="008B2E14" w:rsidRDefault="008B2E14" w:rsidP="00A61000">
      <w:pPr>
        <w:pStyle w:val="NoSpacing"/>
      </w:pPr>
    </w:p>
    <w:tbl>
      <w:tblPr>
        <w:tblStyle w:val="TableGrid"/>
        <w:tblW w:w="9629" w:type="dxa"/>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Layout w:type="fixed"/>
        <w:tblCellMar>
          <w:top w:w="85" w:type="dxa"/>
          <w:bottom w:w="85" w:type="dxa"/>
        </w:tblCellMar>
        <w:tblLook w:val="04A0" w:firstRow="1" w:lastRow="0" w:firstColumn="1" w:lastColumn="0" w:noHBand="0" w:noVBand="1"/>
      </w:tblPr>
      <w:tblGrid>
        <w:gridCol w:w="9629"/>
      </w:tblGrid>
      <w:tr w:rsidR="00D810AC" w:rsidRPr="00DF2A7D" w14:paraId="6D081643" w14:textId="77777777" w:rsidTr="00A61000">
        <w:tc>
          <w:tcPr>
            <w:tcW w:w="9629" w:type="dxa"/>
            <w:shd w:val="clear" w:color="auto" w:fill="F2F2F2" w:themeFill="background1" w:themeFillShade="F2"/>
          </w:tcPr>
          <w:p w14:paraId="0246B12F" w14:textId="77777777" w:rsidR="00D810AC" w:rsidRPr="00DF2A7D" w:rsidRDefault="00A61000" w:rsidP="00A61000">
            <w:pPr>
              <w:pStyle w:val="Heading2"/>
              <w:rPr>
                <w:sz w:val="18"/>
                <w:szCs w:val="18"/>
              </w:rPr>
            </w:pPr>
            <w:r>
              <w:t xml:space="preserve">Main </w:t>
            </w:r>
            <w:r w:rsidRPr="00A61000">
              <w:t>purpose</w:t>
            </w:r>
          </w:p>
        </w:tc>
      </w:tr>
      <w:tr w:rsidR="00A61000" w:rsidRPr="00DF2A7D" w14:paraId="7BB52A7A" w14:textId="77777777" w:rsidTr="00A61000">
        <w:tc>
          <w:tcPr>
            <w:tcW w:w="9629" w:type="dxa"/>
            <w:tcBorders>
              <w:top w:val="single" w:sz="2" w:space="0" w:color="0C0C0C" w:themeColor="text1"/>
              <w:bottom w:val="single" w:sz="8" w:space="0" w:color="0C0C0C" w:themeColor="text1"/>
            </w:tcBorders>
          </w:tcPr>
          <w:p w14:paraId="1EBDD887" w14:textId="77777777" w:rsidR="00FB584F" w:rsidRDefault="00FB584F" w:rsidP="00FB584F">
            <w:r>
              <w:t xml:space="preserve">This role will have overarching responsibility for the design and production teams based in Manchester and Wallingford. ET&amp;I develops various mechanical, engineering </w:t>
            </w:r>
            <w:proofErr w:type="spellStart"/>
            <w:r>
              <w:t>ad</w:t>
            </w:r>
            <w:proofErr w:type="spellEnd"/>
            <w:r>
              <w:t xml:space="preserve"> control elements systems such as wave generation systems, passive absorbers, force measuring instrumentation, carriages, cavitations tunnels, general data acquisition instrumentation and remote platforms.</w:t>
            </w:r>
          </w:p>
          <w:p w14:paraId="4EA99A33" w14:textId="77777777" w:rsidR="00FB584F" w:rsidRDefault="00FB584F" w:rsidP="00FB584F">
            <w:r>
              <w:t>Responsible for P&amp;L of the Equipment Technology and Innovation trading group and for future expansion of our Equipment Sales business to allow it to foster, develop and capitalise new, innovative technologies within the framework of the Company’s Strategy.</w:t>
            </w:r>
          </w:p>
          <w:p w14:paraId="5F4CF317" w14:textId="77777777" w:rsidR="00FB584F" w:rsidRDefault="00FB584F" w:rsidP="00FB584F">
            <w:r>
              <w:t>Responsible for staff and facilities and for enhancing and modernising the techniques employed, increasing focus on instrument innovation across the entire water sector.</w:t>
            </w:r>
          </w:p>
          <w:p w14:paraId="2616A5A1" w14:textId="475F6A4F" w:rsidR="00FB584F" w:rsidRDefault="00FB584F" w:rsidP="00FB584F">
            <w:r>
              <w:t>Responsible for operational delivery of ET&amp;I services/products</w:t>
            </w:r>
            <w:r>
              <w:t>,</w:t>
            </w:r>
            <w:r>
              <w:t xml:space="preserve"> including</w:t>
            </w:r>
            <w:r>
              <w:t>:</w:t>
            </w:r>
          </w:p>
          <w:p w14:paraId="4DDCD705" w14:textId="378BE593" w:rsidR="00FB584F" w:rsidRDefault="00FB584F" w:rsidP="00FB584F">
            <w:pPr>
              <w:pStyle w:val="Bullet1"/>
            </w:pPr>
            <w:r>
              <w:t>Delivery consistent with IMS</w:t>
            </w:r>
          </w:p>
          <w:p w14:paraId="2C31CA3C" w14:textId="61AE419C" w:rsidR="00FB584F" w:rsidRDefault="00FB584F" w:rsidP="00FB584F">
            <w:pPr>
              <w:pStyle w:val="Bullet1"/>
            </w:pPr>
            <w:r>
              <w:t>Optimal financial returns and effective financial control</w:t>
            </w:r>
          </w:p>
          <w:p w14:paraId="0D283D76" w14:textId="33149BD3" w:rsidR="00FB584F" w:rsidRDefault="00FB584F" w:rsidP="00FB584F">
            <w:pPr>
              <w:pStyle w:val="Bullet1"/>
            </w:pPr>
            <w:r>
              <w:t>Effective resolution of commercial/contractual issues during work winning and delivery</w:t>
            </w:r>
          </w:p>
          <w:p w14:paraId="5BCA8D4A" w14:textId="0B3DF83E" w:rsidR="00FB584F" w:rsidRDefault="00FB584F" w:rsidP="00FB584F">
            <w:pPr>
              <w:pStyle w:val="Bullet1"/>
            </w:pPr>
            <w:r>
              <w:t>Supply chain management</w:t>
            </w:r>
          </w:p>
          <w:p w14:paraId="049B3D48" w14:textId="50869ACB" w:rsidR="00FB584F" w:rsidRDefault="00FB584F" w:rsidP="00FB584F">
            <w:pPr>
              <w:pStyle w:val="Bullet1"/>
            </w:pPr>
            <w:r>
              <w:t>Staff engagement</w:t>
            </w:r>
          </w:p>
          <w:p w14:paraId="528AAE20" w14:textId="66C7B829" w:rsidR="00FB584F" w:rsidRDefault="00FB584F" w:rsidP="00FB584F">
            <w:pPr>
              <w:pStyle w:val="Bullet1"/>
            </w:pPr>
            <w:r>
              <w:t>Staff development</w:t>
            </w:r>
          </w:p>
          <w:p w14:paraId="2D46D998" w14:textId="3372D90D" w:rsidR="00FB584F" w:rsidRDefault="00FB584F" w:rsidP="00FB584F">
            <w:pPr>
              <w:pStyle w:val="Bullet1"/>
            </w:pPr>
            <w:r>
              <w:t>Optimal/flexible resource (staff, IT and other) planning and allocation</w:t>
            </w:r>
          </w:p>
          <w:p w14:paraId="4B4A47E6" w14:textId="3814E405" w:rsidR="002B7EDD" w:rsidRPr="002B7EDD" w:rsidRDefault="00FB584F" w:rsidP="00FB584F">
            <w:pPr>
              <w:pStyle w:val="Bullet1"/>
            </w:pPr>
            <w:r>
              <w:t>Effective input into bidding process</w:t>
            </w:r>
          </w:p>
        </w:tc>
      </w:tr>
    </w:tbl>
    <w:p w14:paraId="702B880C" w14:textId="77777777" w:rsidR="00D810AC" w:rsidRDefault="00D810AC" w:rsidP="00A61000">
      <w:pPr>
        <w:pStyle w:val="NoSpacing"/>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420" w:firstRow="1" w:lastRow="0" w:firstColumn="0" w:lastColumn="0" w:noHBand="0" w:noVBand="1"/>
      </w:tblPr>
      <w:tblGrid>
        <w:gridCol w:w="9618"/>
      </w:tblGrid>
      <w:tr w:rsidR="00D810AC" w:rsidRPr="00C04767" w14:paraId="4E355782" w14:textId="77777777" w:rsidTr="00332DFF">
        <w:tc>
          <w:tcPr>
            <w:tcW w:w="9854" w:type="dxa"/>
            <w:shd w:val="clear" w:color="auto" w:fill="F2F2F2" w:themeFill="background1" w:themeFillShade="F2"/>
          </w:tcPr>
          <w:p w14:paraId="510F2CC5" w14:textId="77777777" w:rsidR="00D810AC" w:rsidRPr="00C04767" w:rsidRDefault="00D810AC" w:rsidP="00332DFF">
            <w:pPr>
              <w:pStyle w:val="Heading2"/>
            </w:pPr>
            <w:r>
              <w:t>Main duties</w:t>
            </w:r>
          </w:p>
        </w:tc>
      </w:tr>
      <w:tr w:rsidR="00D810AC" w:rsidRPr="00C04767" w14:paraId="51827057" w14:textId="77777777" w:rsidTr="00332DFF">
        <w:tc>
          <w:tcPr>
            <w:tcW w:w="9854" w:type="dxa"/>
          </w:tcPr>
          <w:p w14:paraId="3C4A7B33" w14:textId="77777777" w:rsidR="00FB584F" w:rsidRPr="00FB584F" w:rsidRDefault="00FB584F" w:rsidP="00FB584F">
            <w:pPr>
              <w:spacing w:after="0" w:line="240" w:lineRule="auto"/>
              <w:rPr>
                <w:b/>
                <w:bCs/>
              </w:rPr>
            </w:pPr>
            <w:r w:rsidRPr="00FB584F">
              <w:rPr>
                <w:b/>
                <w:bCs/>
              </w:rPr>
              <w:t>Group Management</w:t>
            </w:r>
          </w:p>
          <w:p w14:paraId="10653610" w14:textId="6824D54E" w:rsidR="00FB584F" w:rsidRDefault="00FB584F" w:rsidP="00FB584F">
            <w:pPr>
              <w:pStyle w:val="Bullet1"/>
            </w:pPr>
            <w:r>
              <w:t>Accountable for delivery of group budget within the Company budget</w:t>
            </w:r>
          </w:p>
          <w:p w14:paraId="15D7B1D2" w14:textId="7AB6D738" w:rsidR="00FB584F" w:rsidRDefault="00FB584F" w:rsidP="00FB584F">
            <w:pPr>
              <w:pStyle w:val="Bullet1"/>
            </w:pPr>
            <w:r>
              <w:t>Responsible for business planning for the group with P&amp;L</w:t>
            </w:r>
          </w:p>
          <w:p w14:paraId="0ECD8D00" w14:textId="5F50A0DD" w:rsidR="00FB584F" w:rsidRDefault="00FB584F" w:rsidP="00FB584F">
            <w:pPr>
              <w:pStyle w:val="Bullet1"/>
            </w:pPr>
            <w:r>
              <w:t>Undertake the preparation of ET&amp;I business plan through effective communication with Operations Director, Chief Finance Officer and BD Director</w:t>
            </w:r>
          </w:p>
          <w:p w14:paraId="7EA6E5F4" w14:textId="09923A58" w:rsidR="00FB584F" w:rsidRDefault="00FB584F" w:rsidP="00FB584F">
            <w:pPr>
              <w:pStyle w:val="Bullet1"/>
            </w:pPr>
            <w:r>
              <w:t>Ensure quarterly review of business plan (and reforecast as necessary)</w:t>
            </w:r>
          </w:p>
          <w:p w14:paraId="63D0C13E" w14:textId="0ADE7C52" w:rsidR="00FB584F" w:rsidRDefault="00FB584F" w:rsidP="00FB584F">
            <w:pPr>
              <w:pStyle w:val="Bullet1"/>
            </w:pPr>
            <w:r>
              <w:t>Appropriate resources management to projects/proposals and other activities with the requisite technical and/or management/administration skills</w:t>
            </w:r>
          </w:p>
          <w:p w14:paraId="5A924E40" w14:textId="782D9946" w:rsidR="00FB584F" w:rsidRDefault="00FB584F" w:rsidP="00FB584F">
            <w:pPr>
              <w:pStyle w:val="Bullet1"/>
            </w:pPr>
            <w:r>
              <w:t>Staff engagement and development including Career Conversations, mentoring, training, welfare and development needs within the group</w:t>
            </w:r>
          </w:p>
          <w:p w14:paraId="39D0C837" w14:textId="1D98B02F" w:rsidR="00FB584F" w:rsidRDefault="00FB584F" w:rsidP="00FB584F">
            <w:pPr>
              <w:pStyle w:val="Bullet1"/>
            </w:pPr>
            <w:r>
              <w:t xml:space="preserve">Effective and timely articulation of operational requirements on corporate resources, </w:t>
            </w:r>
            <w:proofErr w:type="spellStart"/>
            <w:r>
              <w:t>eg</w:t>
            </w:r>
            <w:proofErr w:type="spellEnd"/>
            <w:r>
              <w:t xml:space="preserve"> Personnel and L&amp;D, IT, Finance etc.</w:t>
            </w:r>
          </w:p>
          <w:p w14:paraId="199DAD17" w14:textId="77777777" w:rsidR="00FB584F" w:rsidRPr="00FB584F" w:rsidRDefault="00FB584F" w:rsidP="00FB584F">
            <w:pPr>
              <w:spacing w:after="0" w:line="240" w:lineRule="auto"/>
              <w:rPr>
                <w:b/>
                <w:bCs/>
              </w:rPr>
            </w:pPr>
            <w:r w:rsidRPr="00FB584F">
              <w:rPr>
                <w:b/>
                <w:bCs/>
              </w:rPr>
              <w:t>Project Delivery</w:t>
            </w:r>
          </w:p>
          <w:p w14:paraId="51060D4B" w14:textId="2645C98B" w:rsidR="00FB584F" w:rsidRDefault="00FB584F" w:rsidP="00FB584F">
            <w:pPr>
              <w:pStyle w:val="Bullet1"/>
            </w:pPr>
            <w:r>
              <w:t>Accountable for technical and financial performance of all projects within group</w:t>
            </w:r>
          </w:p>
          <w:p w14:paraId="7038CA17" w14:textId="7C9F3B56" w:rsidR="00FB584F" w:rsidRDefault="00FB584F" w:rsidP="00FB584F">
            <w:pPr>
              <w:pStyle w:val="Bullet1"/>
            </w:pPr>
            <w:r>
              <w:t>Strategic project director/ management roles as appropriate taking on client facing technical and commercial role.</w:t>
            </w:r>
          </w:p>
          <w:p w14:paraId="4DADB802" w14:textId="77777777" w:rsidR="00FB584F" w:rsidRPr="00FB584F" w:rsidRDefault="00FB584F" w:rsidP="00FB584F">
            <w:pPr>
              <w:spacing w:after="0" w:line="240" w:lineRule="auto"/>
              <w:rPr>
                <w:b/>
                <w:bCs/>
              </w:rPr>
            </w:pPr>
            <w:r w:rsidRPr="00FB584F">
              <w:rPr>
                <w:b/>
                <w:bCs/>
              </w:rPr>
              <w:t>BD and bidding</w:t>
            </w:r>
          </w:p>
          <w:p w14:paraId="1C79150C" w14:textId="3852CB29" w:rsidR="00FB584F" w:rsidRDefault="00FB584F" w:rsidP="00FB584F">
            <w:pPr>
              <w:pStyle w:val="Bullet1"/>
            </w:pPr>
            <w:r>
              <w:t>Support Business development effort to provide staff resource and suitable material as and when required</w:t>
            </w:r>
          </w:p>
          <w:p w14:paraId="6C292B8C" w14:textId="0CA17524" w:rsidR="00FB584F" w:rsidRDefault="00FB584F" w:rsidP="00FB584F">
            <w:pPr>
              <w:pStyle w:val="Bullet1"/>
            </w:pPr>
            <w:r>
              <w:t>Ensure regular review of pipelines and required actions to secure work to the required level</w:t>
            </w:r>
          </w:p>
          <w:p w14:paraId="027890ED" w14:textId="0B5BF7E3" w:rsidR="00FB584F" w:rsidRDefault="00FB584F" w:rsidP="00FB584F">
            <w:pPr>
              <w:pStyle w:val="Bullet1"/>
            </w:pPr>
            <w:r>
              <w:lastRenderedPageBreak/>
              <w:t>Responsible for commercial and technical content, timely preparation and submission of group proposals.</w:t>
            </w:r>
          </w:p>
          <w:p w14:paraId="665C7956" w14:textId="77777777" w:rsidR="00FB584F" w:rsidRPr="00FB584F" w:rsidRDefault="00FB584F" w:rsidP="00FB584F">
            <w:pPr>
              <w:spacing w:after="0" w:line="240" w:lineRule="auto"/>
              <w:rPr>
                <w:b/>
                <w:bCs/>
              </w:rPr>
            </w:pPr>
            <w:r w:rsidRPr="00FB584F">
              <w:rPr>
                <w:b/>
                <w:bCs/>
              </w:rPr>
              <w:t>Innovation and Leadership</w:t>
            </w:r>
          </w:p>
          <w:p w14:paraId="04A7BCA7" w14:textId="06365E75" w:rsidR="00FB584F" w:rsidRDefault="00FB584F" w:rsidP="00FB584F">
            <w:pPr>
              <w:pStyle w:val="Bullet1"/>
            </w:pPr>
            <w:r>
              <w:t>Input into 5 year strategy review and update</w:t>
            </w:r>
          </w:p>
          <w:p w14:paraId="31FD0612" w14:textId="16989C48" w:rsidR="00FB584F" w:rsidRDefault="00FB584F" w:rsidP="00FB584F">
            <w:pPr>
              <w:pStyle w:val="Bullet1"/>
            </w:pPr>
            <w:r>
              <w:t>Co-ordination with senior technical staff across HR Wallingford business to ensure emerging R&amp;D needs are met</w:t>
            </w:r>
          </w:p>
          <w:p w14:paraId="52DEAB3E" w14:textId="3FDD539F" w:rsidR="00FB584F" w:rsidRDefault="00FB584F" w:rsidP="00FB584F">
            <w:pPr>
              <w:pStyle w:val="Bullet1"/>
            </w:pPr>
            <w:r>
              <w:t>Balancing of resources to deliver on budgeted P&amp;L and delivery of ET&amp;I research and development commitments</w:t>
            </w:r>
          </w:p>
          <w:p w14:paraId="435C4709" w14:textId="6245DD33" w:rsidR="00FB584F" w:rsidRDefault="00FB584F" w:rsidP="00FB584F">
            <w:pPr>
              <w:pStyle w:val="Bullet1"/>
            </w:pPr>
            <w:r>
              <w:t>Explore and, if appropriate, develop the case for a manufacturing centre whilst ensuring optimal development and operations across two sites</w:t>
            </w:r>
          </w:p>
          <w:p w14:paraId="461DF21F" w14:textId="2026C613" w:rsidR="00FB584F" w:rsidRDefault="00FB584F" w:rsidP="00FB584F">
            <w:pPr>
              <w:pStyle w:val="Bullet1"/>
            </w:pPr>
            <w:r>
              <w:t xml:space="preserve">Support and address liaison with national and international research agencies and private sector investment, identifying and where appropriate securing greater partnership </w:t>
            </w:r>
          </w:p>
          <w:p w14:paraId="7896F002" w14:textId="5BDFF698" w:rsidR="002B7EDD" w:rsidRPr="0061426D" w:rsidRDefault="00FB584F" w:rsidP="00FB584F">
            <w:pPr>
              <w:pStyle w:val="Bullet1"/>
            </w:pPr>
            <w:r>
              <w:t>Assess opportunities for HR Wallingford to invest in innovation start-ups.</w:t>
            </w:r>
          </w:p>
        </w:tc>
      </w:tr>
    </w:tbl>
    <w:p w14:paraId="141C9DF0" w14:textId="77777777" w:rsidR="00D810AC" w:rsidRDefault="00D810AC" w:rsidP="00D810AC">
      <w:pPr>
        <w:pStyle w:val="NoSpacing"/>
        <w:rPr>
          <w:u w:val="single"/>
        </w:rPr>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420" w:firstRow="1" w:lastRow="0" w:firstColumn="0" w:lastColumn="0" w:noHBand="0" w:noVBand="1"/>
      </w:tblPr>
      <w:tblGrid>
        <w:gridCol w:w="9618"/>
      </w:tblGrid>
      <w:tr w:rsidR="00FB584F" w:rsidRPr="00C04767" w14:paraId="3197CE2A" w14:textId="77777777" w:rsidTr="000F22E8">
        <w:tc>
          <w:tcPr>
            <w:tcW w:w="9854" w:type="dxa"/>
            <w:shd w:val="clear" w:color="auto" w:fill="F2F2F2" w:themeFill="background1" w:themeFillShade="F2"/>
          </w:tcPr>
          <w:p w14:paraId="486DA676" w14:textId="1CE0AADB" w:rsidR="00FB584F" w:rsidRPr="00C04767" w:rsidRDefault="00FB584F" w:rsidP="000F22E8">
            <w:pPr>
              <w:pStyle w:val="Heading2"/>
            </w:pPr>
            <w:r w:rsidRPr="00FB584F">
              <w:t>Job specific duties</w:t>
            </w:r>
          </w:p>
        </w:tc>
      </w:tr>
      <w:tr w:rsidR="00FB584F" w:rsidRPr="00C04767" w14:paraId="7E3F9A73" w14:textId="77777777" w:rsidTr="000F22E8">
        <w:tc>
          <w:tcPr>
            <w:tcW w:w="9854" w:type="dxa"/>
          </w:tcPr>
          <w:p w14:paraId="781AFC80" w14:textId="36E34241" w:rsidR="00FB584F" w:rsidRDefault="00FB584F" w:rsidP="00FB584F">
            <w:pPr>
              <w:pStyle w:val="Bullet1"/>
            </w:pPr>
            <w:r>
              <w:t>Line management as necessary and appropriate according to functional structure of the group.</w:t>
            </w:r>
          </w:p>
          <w:p w14:paraId="3E55BDB3" w14:textId="6922951D" w:rsidR="00FB584F" w:rsidRDefault="00FB584F" w:rsidP="00FB584F">
            <w:pPr>
              <w:pStyle w:val="Bullet1"/>
            </w:pPr>
            <w:r>
              <w:t xml:space="preserve">Monthly group reports – against financial and other KPIs – weekly BD and Operations summary. </w:t>
            </w:r>
          </w:p>
          <w:p w14:paraId="7A5B57F6" w14:textId="41D68308" w:rsidR="00FB584F" w:rsidRDefault="00FB584F" w:rsidP="00FB584F">
            <w:pPr>
              <w:pStyle w:val="Bullet1"/>
            </w:pPr>
            <w:r>
              <w:t>Responsible for QHSE and ensuring adherence to Company HSE and QA procedures.</w:t>
            </w:r>
          </w:p>
          <w:p w14:paraId="27CCFE2C" w14:textId="5274A4F4" w:rsidR="00FB584F" w:rsidRPr="0061426D" w:rsidRDefault="00FB584F" w:rsidP="00FB584F">
            <w:pPr>
              <w:pStyle w:val="Bullet1"/>
            </w:pPr>
            <w:r>
              <w:t>Continual review and improvement of quality procedures as they relate to operations</w:t>
            </w:r>
          </w:p>
        </w:tc>
      </w:tr>
    </w:tbl>
    <w:p w14:paraId="33366280" w14:textId="77777777" w:rsidR="00FB584F" w:rsidRDefault="00FB584F" w:rsidP="00D810AC">
      <w:pPr>
        <w:pStyle w:val="NoSpacing"/>
        <w:rPr>
          <w:u w:val="single"/>
        </w:rPr>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200" w:firstRow="0" w:lastRow="0" w:firstColumn="0" w:lastColumn="0" w:noHBand="1" w:noVBand="0"/>
      </w:tblPr>
      <w:tblGrid>
        <w:gridCol w:w="2684"/>
        <w:gridCol w:w="6934"/>
      </w:tblGrid>
      <w:tr w:rsidR="00D810AC" w:rsidRPr="00C04767" w14:paraId="3A9F0937" w14:textId="77777777" w:rsidTr="0077515F">
        <w:trPr>
          <w:trHeight w:val="152"/>
        </w:trPr>
        <w:tc>
          <w:tcPr>
            <w:tcW w:w="2684" w:type="dxa"/>
            <w:shd w:val="clear" w:color="auto" w:fill="F2F2F2" w:themeFill="background1" w:themeFillShade="F2"/>
          </w:tcPr>
          <w:p w14:paraId="28E3BBFB" w14:textId="77777777" w:rsidR="00D810AC" w:rsidRPr="00C04767" w:rsidRDefault="0077515F" w:rsidP="00332DFF">
            <w:pPr>
              <w:pStyle w:val="Heading2"/>
            </w:pPr>
            <w:r>
              <w:t>Group</w:t>
            </w:r>
          </w:p>
        </w:tc>
        <w:tc>
          <w:tcPr>
            <w:tcW w:w="6934" w:type="dxa"/>
            <w:shd w:val="clear" w:color="auto" w:fill="FFFFFF" w:themeFill="background1"/>
          </w:tcPr>
          <w:p w14:paraId="43AF6413" w14:textId="294293AA" w:rsidR="00D810AC" w:rsidRPr="00C04767" w:rsidRDefault="00FB584F" w:rsidP="007927F8">
            <w:r w:rsidRPr="00FB584F">
              <w:t>ET&amp;I</w:t>
            </w:r>
          </w:p>
        </w:tc>
      </w:tr>
      <w:tr w:rsidR="00D810AC" w:rsidRPr="00C04767" w14:paraId="1BFD2402" w14:textId="77777777" w:rsidTr="0077515F">
        <w:tc>
          <w:tcPr>
            <w:tcW w:w="2684" w:type="dxa"/>
            <w:shd w:val="clear" w:color="auto" w:fill="F2F2F2" w:themeFill="background1" w:themeFillShade="F2"/>
          </w:tcPr>
          <w:p w14:paraId="0231546E" w14:textId="77777777" w:rsidR="00D810AC" w:rsidRPr="00C04767" w:rsidRDefault="0077515F" w:rsidP="00332DFF">
            <w:pPr>
              <w:pStyle w:val="Heading2"/>
            </w:pPr>
            <w:r>
              <w:t>Reports to</w:t>
            </w:r>
          </w:p>
        </w:tc>
        <w:tc>
          <w:tcPr>
            <w:tcW w:w="6934" w:type="dxa"/>
            <w:shd w:val="clear" w:color="auto" w:fill="FFFFFF" w:themeFill="background1"/>
          </w:tcPr>
          <w:p w14:paraId="3980C472" w14:textId="473C7106" w:rsidR="00D810AC" w:rsidRPr="00C04767" w:rsidRDefault="00FB584F" w:rsidP="007927F8">
            <w:r w:rsidRPr="00FB584F">
              <w:t>Operations Director</w:t>
            </w:r>
          </w:p>
        </w:tc>
      </w:tr>
      <w:tr w:rsidR="00D810AC" w:rsidRPr="00C04767" w14:paraId="1FA8D255" w14:textId="77777777" w:rsidTr="0077515F">
        <w:tc>
          <w:tcPr>
            <w:tcW w:w="2684" w:type="dxa"/>
            <w:shd w:val="clear" w:color="auto" w:fill="F2F2F2" w:themeFill="background1" w:themeFillShade="F2"/>
          </w:tcPr>
          <w:p w14:paraId="595B1BFE" w14:textId="77777777" w:rsidR="00D810AC" w:rsidRDefault="0077515F" w:rsidP="00332DFF">
            <w:pPr>
              <w:pStyle w:val="Heading2"/>
            </w:pPr>
            <w:r>
              <w:t>Responsible for</w:t>
            </w:r>
          </w:p>
        </w:tc>
        <w:tc>
          <w:tcPr>
            <w:tcW w:w="6934" w:type="dxa"/>
            <w:shd w:val="clear" w:color="auto" w:fill="FFFFFF" w:themeFill="background1"/>
          </w:tcPr>
          <w:p w14:paraId="174DD31E" w14:textId="77777777" w:rsidR="00D810AC" w:rsidRDefault="00D810AC" w:rsidP="007927F8"/>
        </w:tc>
      </w:tr>
      <w:tr w:rsidR="00D810AC" w:rsidRPr="00C04767" w14:paraId="5267076A" w14:textId="77777777" w:rsidTr="0077515F">
        <w:tc>
          <w:tcPr>
            <w:tcW w:w="2684" w:type="dxa"/>
            <w:shd w:val="clear" w:color="auto" w:fill="F2F2F2" w:themeFill="background1" w:themeFillShade="F2"/>
          </w:tcPr>
          <w:p w14:paraId="2A99D5B5" w14:textId="77777777" w:rsidR="00D810AC" w:rsidRDefault="00D810AC" w:rsidP="00332DFF">
            <w:pPr>
              <w:pStyle w:val="Heading2"/>
            </w:pPr>
            <w:r>
              <w:t>Date agreed</w:t>
            </w:r>
          </w:p>
        </w:tc>
        <w:tc>
          <w:tcPr>
            <w:tcW w:w="6934" w:type="dxa"/>
            <w:shd w:val="clear" w:color="auto" w:fill="FFFFFF" w:themeFill="background1"/>
          </w:tcPr>
          <w:p w14:paraId="6AA83786" w14:textId="77777777" w:rsidR="00D810AC" w:rsidRDefault="00D810AC" w:rsidP="007927F8"/>
        </w:tc>
      </w:tr>
    </w:tbl>
    <w:p w14:paraId="55945163" w14:textId="77777777" w:rsidR="00D810AC" w:rsidRPr="0077515F" w:rsidRDefault="00D810AC" w:rsidP="0077515F"/>
    <w:sectPr w:rsidR="00D810AC" w:rsidRPr="0077515F" w:rsidSect="00945961">
      <w:headerReference w:type="default" r:id="rId9"/>
      <w:footerReference w:type="default" r:id="rId10"/>
      <w:pgSz w:w="11906" w:h="16838" w:code="9"/>
      <w:pgMar w:top="1418" w:right="1134" w:bottom="1134"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9B5A7" w14:textId="77777777" w:rsidR="00945961" w:rsidRDefault="00945961" w:rsidP="00700852">
      <w:pPr>
        <w:spacing w:line="240" w:lineRule="auto"/>
      </w:pPr>
      <w:r>
        <w:separator/>
      </w:r>
    </w:p>
  </w:endnote>
  <w:endnote w:type="continuationSeparator" w:id="0">
    <w:p w14:paraId="62D12940" w14:textId="77777777" w:rsidR="00945961" w:rsidRDefault="00945961" w:rsidP="0070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Epilogue">
    <w:panose1 w:val="00000000000000000000"/>
    <w:charset w:val="00"/>
    <w:family w:val="auto"/>
    <w:pitch w:val="variable"/>
    <w:sig w:usb0="A000007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Epilogue SemiBold">
    <w:panose1 w:val="00000000000000000000"/>
    <w:charset w:val="00"/>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4E3DC1" w:rsidRPr="007853F7" w14:paraId="0CC46E8B" w14:textId="77777777" w:rsidTr="00E906E1">
      <w:tc>
        <w:tcPr>
          <w:tcW w:w="4927" w:type="dxa"/>
        </w:tcPr>
        <w:p w14:paraId="1789D778" w14:textId="77777777" w:rsidR="004E3DC1" w:rsidRDefault="004E3DC1" w:rsidP="004E3DC1">
          <w:pPr>
            <w:pStyle w:val="NoSpacing"/>
            <w:rPr>
              <w:sz w:val="16"/>
              <w:szCs w:val="16"/>
            </w:rPr>
          </w:pPr>
          <w:r w:rsidRPr="004E3DC1">
            <w:rPr>
              <w:sz w:val="16"/>
              <w:szCs w:val="16"/>
            </w:rPr>
            <w:t>FM</w:t>
          </w:r>
          <w:r w:rsidR="00307F58">
            <w:rPr>
              <w:sz w:val="16"/>
              <w:szCs w:val="16"/>
            </w:rPr>
            <w:t>106</w:t>
          </w:r>
          <w:r w:rsidRPr="004E3DC1">
            <w:rPr>
              <w:sz w:val="16"/>
              <w:szCs w:val="16"/>
            </w:rPr>
            <w:t xml:space="preserve"> </w:t>
          </w:r>
          <w:r w:rsidR="00A61000">
            <w:rPr>
              <w:sz w:val="16"/>
              <w:szCs w:val="16"/>
            </w:rPr>
            <w:t>Job description</w:t>
          </w:r>
          <w:r w:rsidRPr="004E3DC1">
            <w:rPr>
              <w:sz w:val="16"/>
              <w:szCs w:val="16"/>
            </w:rPr>
            <w:t xml:space="preserve"> R</w:t>
          </w:r>
          <w:r w:rsidR="002B7EDD">
            <w:rPr>
              <w:sz w:val="16"/>
              <w:szCs w:val="16"/>
            </w:rPr>
            <w:t>2</w:t>
          </w:r>
          <w:r w:rsidRPr="004E3DC1">
            <w:rPr>
              <w:sz w:val="16"/>
              <w:szCs w:val="16"/>
            </w:rPr>
            <w:t>-0</w:t>
          </w:r>
        </w:p>
        <w:p w14:paraId="1E1BC461" w14:textId="77777777" w:rsidR="004E3DC1" w:rsidRDefault="00CA6B33" w:rsidP="004E3DC1">
          <w:pPr>
            <w:pStyle w:val="NoSpacing"/>
            <w:rPr>
              <w:sz w:val="16"/>
              <w:szCs w:val="16"/>
            </w:rPr>
          </w:pPr>
          <w:r w:rsidRPr="00CA6B33">
            <w:rPr>
              <w:sz w:val="16"/>
              <w:szCs w:val="16"/>
            </w:rPr>
            <w:t>1</w:t>
          </w:r>
          <w:r w:rsidR="00A61000">
            <w:rPr>
              <w:sz w:val="16"/>
              <w:szCs w:val="16"/>
            </w:rPr>
            <w:t>6</w:t>
          </w:r>
          <w:r w:rsidR="004E3DC1" w:rsidRPr="00CA6B33">
            <w:rPr>
              <w:sz w:val="16"/>
              <w:szCs w:val="16"/>
            </w:rPr>
            <w:t xml:space="preserve"> </w:t>
          </w:r>
          <w:r w:rsidR="00A61000">
            <w:rPr>
              <w:sz w:val="16"/>
              <w:szCs w:val="16"/>
            </w:rPr>
            <w:t>May</w:t>
          </w:r>
          <w:r w:rsidR="004E3DC1" w:rsidRPr="00CA6B33">
            <w:rPr>
              <w:sz w:val="16"/>
              <w:szCs w:val="16"/>
            </w:rPr>
            <w:t xml:space="preserve"> 202</w:t>
          </w:r>
          <w:r w:rsidRPr="00CA6B33">
            <w:rPr>
              <w:sz w:val="16"/>
              <w:szCs w:val="16"/>
            </w:rPr>
            <w:t>3</w:t>
          </w:r>
        </w:p>
        <w:p w14:paraId="2A49700B" w14:textId="77777777" w:rsidR="004E3DC1" w:rsidRPr="007853F7" w:rsidRDefault="004E3DC1" w:rsidP="004E3DC1">
          <w:pPr>
            <w:pStyle w:val="NoSpacing"/>
            <w:rPr>
              <w:sz w:val="16"/>
              <w:szCs w:val="16"/>
            </w:rPr>
          </w:pPr>
          <w:r>
            <w:rPr>
              <w:sz w:val="16"/>
              <w:szCs w:val="16"/>
            </w:rPr>
            <w:t>UNCONTROLLED WHEN PRINTED</w:t>
          </w:r>
        </w:p>
      </w:tc>
      <w:tc>
        <w:tcPr>
          <w:tcW w:w="4927" w:type="dxa"/>
          <w:vAlign w:val="bottom"/>
        </w:tcPr>
        <w:p w14:paraId="5E5C0F51" w14:textId="77777777" w:rsidR="004E3DC1" w:rsidRPr="007853F7" w:rsidRDefault="004E3DC1" w:rsidP="004E3DC1">
          <w:pPr>
            <w:pStyle w:val="NoSpacing"/>
            <w:jc w:val="right"/>
            <w:rPr>
              <w:sz w:val="16"/>
              <w:szCs w:val="16"/>
            </w:rPr>
          </w:pPr>
          <w:r w:rsidRPr="007853F7">
            <w:rPr>
              <w:sz w:val="16"/>
              <w:szCs w:val="16"/>
            </w:rPr>
            <w:t xml:space="preserve">Page </w:t>
          </w:r>
          <w:r w:rsidRPr="007853F7">
            <w:rPr>
              <w:sz w:val="16"/>
              <w:szCs w:val="16"/>
            </w:rPr>
            <w:fldChar w:fldCharType="begin"/>
          </w:r>
          <w:r w:rsidRPr="007853F7">
            <w:rPr>
              <w:sz w:val="16"/>
              <w:szCs w:val="16"/>
            </w:rPr>
            <w:instrText xml:space="preserve"> PAGE   \* MERGEFORMAT </w:instrText>
          </w:r>
          <w:r w:rsidRPr="007853F7">
            <w:rPr>
              <w:sz w:val="16"/>
              <w:szCs w:val="16"/>
            </w:rPr>
            <w:fldChar w:fldCharType="separate"/>
          </w:r>
          <w:r>
            <w:rPr>
              <w:sz w:val="16"/>
              <w:szCs w:val="16"/>
            </w:rPr>
            <w:t>1</w:t>
          </w:r>
          <w:r w:rsidRPr="007853F7">
            <w:rPr>
              <w:noProof/>
              <w:sz w:val="16"/>
              <w:szCs w:val="16"/>
            </w:rPr>
            <w:fldChar w:fldCharType="end"/>
          </w:r>
        </w:p>
      </w:tc>
    </w:tr>
  </w:tbl>
  <w:p w14:paraId="66D19559" w14:textId="77777777" w:rsidR="007025E4" w:rsidRPr="004E3DC1" w:rsidRDefault="007025E4" w:rsidP="004E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823D5" w14:textId="77777777" w:rsidR="00945961" w:rsidRDefault="00945961" w:rsidP="00700852">
      <w:pPr>
        <w:spacing w:line="240" w:lineRule="auto"/>
      </w:pPr>
      <w:r>
        <w:separator/>
      </w:r>
    </w:p>
  </w:footnote>
  <w:footnote w:type="continuationSeparator" w:id="0">
    <w:p w14:paraId="288623F5" w14:textId="77777777" w:rsidR="00945961" w:rsidRDefault="00945961" w:rsidP="00700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654"/>
    </w:tblGrid>
    <w:tr w:rsidR="004E3DC1" w14:paraId="55C96705" w14:textId="77777777" w:rsidTr="00A61000">
      <w:tc>
        <w:tcPr>
          <w:tcW w:w="1985" w:type="dxa"/>
          <w:vAlign w:val="bottom"/>
        </w:tcPr>
        <w:p w14:paraId="28795A42" w14:textId="77777777" w:rsidR="004E3DC1" w:rsidRDefault="004E3DC1" w:rsidP="004E3DC1">
          <w:r>
            <w:rPr>
              <w:noProof/>
            </w:rPr>
            <w:drawing>
              <wp:inline distT="0" distB="0" distL="0" distR="0" wp14:anchorId="07EBF8BB" wp14:editId="02B1D11D">
                <wp:extent cx="999731" cy="540000"/>
                <wp:effectExtent l="0" t="0" r="0" b="0"/>
                <wp:docPr id="4" name="Picture 4" descr="A picture containing text, outdoor,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31" cy="540000"/>
                        </a:xfrm>
                        <a:prstGeom prst="rect">
                          <a:avLst/>
                        </a:prstGeom>
                        <a:noFill/>
                        <a:ln>
                          <a:noFill/>
                        </a:ln>
                      </pic:spPr>
                    </pic:pic>
                  </a:graphicData>
                </a:graphic>
              </wp:inline>
            </w:drawing>
          </w:r>
        </w:p>
      </w:tc>
      <w:sdt>
        <w:sdtPr>
          <w:id w:val="-2077048949"/>
          <w:placeholder>
            <w:docPart w:val="A74DFB92DAE347A388197FCD4CFB5B07"/>
          </w:placeholder>
        </w:sdtPr>
        <w:sdtContent>
          <w:tc>
            <w:tcPr>
              <w:tcW w:w="7654" w:type="dxa"/>
              <w:vAlign w:val="center"/>
            </w:tcPr>
            <w:p w14:paraId="5288664D" w14:textId="77777777" w:rsidR="004E3DC1" w:rsidRPr="00905063" w:rsidRDefault="003B18E8" w:rsidP="004E3DC1">
              <w:pPr>
                <w:jc w:val="right"/>
              </w:pPr>
              <w:r w:rsidRPr="003B18E8">
                <w:rPr>
                  <w:sz w:val="44"/>
                  <w:szCs w:val="44"/>
                </w:rPr>
                <w:t>Job description</w:t>
              </w:r>
            </w:p>
          </w:tc>
        </w:sdtContent>
      </w:sdt>
    </w:tr>
  </w:tbl>
  <w:p w14:paraId="2A821CDC" w14:textId="77777777" w:rsidR="007025E4" w:rsidRPr="004E3DC1" w:rsidRDefault="007025E4" w:rsidP="004E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BE3F5C"/>
    <w:multiLevelType w:val="hybridMultilevel"/>
    <w:tmpl w:val="C248D3C0"/>
    <w:lvl w:ilvl="0" w:tplc="EF5C3A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1D05"/>
    <w:multiLevelType w:val="hybridMultilevel"/>
    <w:tmpl w:val="3E94445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FC5602" w:themeColor="accent1"/>
      </w:rPr>
    </w:lvl>
    <w:lvl w:ilvl="1">
      <w:start w:val="1"/>
      <w:numFmt w:val="bullet"/>
      <w:pStyle w:val="Bullet2"/>
      <w:lvlText w:val=""/>
      <w:lvlJc w:val="left"/>
      <w:pPr>
        <w:tabs>
          <w:tab w:val="num" w:pos="680"/>
        </w:tabs>
        <w:ind w:left="680" w:hanging="340"/>
      </w:pPr>
      <w:rPr>
        <w:rFonts w:ascii="Wingdings 2" w:hAnsi="Wingdings 2" w:hint="default"/>
        <w:color w:val="FC5602" w:themeColor="accent1"/>
      </w:rPr>
    </w:lvl>
    <w:lvl w:ilvl="2">
      <w:start w:val="1"/>
      <w:numFmt w:val="bullet"/>
      <w:pStyle w:val="Bullet3"/>
      <w:lvlText w:val="–"/>
      <w:lvlJc w:val="left"/>
      <w:pPr>
        <w:tabs>
          <w:tab w:val="num" w:pos="1021"/>
        </w:tabs>
        <w:ind w:left="1021" w:hanging="341"/>
      </w:pPr>
      <w:rPr>
        <w:rFonts w:ascii="(none)" w:hAnsi="(none)" w:hint="default"/>
        <w:color w:val="FC5602"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4"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FC5602" w:themeColor="accent1"/>
      </w:rPr>
    </w:lvl>
    <w:lvl w:ilvl="1">
      <w:start w:val="1"/>
      <w:numFmt w:val="lowerLetter"/>
      <w:lvlText w:val="%2."/>
      <w:lvlJc w:val="left"/>
      <w:pPr>
        <w:tabs>
          <w:tab w:val="num" w:pos="680"/>
        </w:tabs>
        <w:ind w:left="680" w:hanging="340"/>
      </w:pPr>
      <w:rPr>
        <w:rFonts w:hint="default"/>
        <w:color w:val="FC5602" w:themeColor="accent1"/>
      </w:rPr>
    </w:lvl>
    <w:lvl w:ilvl="2">
      <w:start w:val="1"/>
      <w:numFmt w:val="lowerRoman"/>
      <w:lvlText w:val="%3."/>
      <w:lvlJc w:val="left"/>
      <w:pPr>
        <w:tabs>
          <w:tab w:val="num" w:pos="1021"/>
        </w:tabs>
        <w:ind w:left="1021" w:hanging="341"/>
      </w:pPr>
      <w:rPr>
        <w:rFonts w:hint="default"/>
        <w:color w:val="FC5602"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num w:numId="1" w16cid:durableId="261960354">
    <w:abstractNumId w:val="0"/>
  </w:num>
  <w:num w:numId="2" w16cid:durableId="418526852">
    <w:abstractNumId w:val="0"/>
  </w:num>
  <w:num w:numId="3" w16cid:durableId="275672497">
    <w:abstractNumId w:val="0"/>
  </w:num>
  <w:num w:numId="4" w16cid:durableId="935290479">
    <w:abstractNumId w:val="3"/>
  </w:num>
  <w:num w:numId="5" w16cid:durableId="447894663">
    <w:abstractNumId w:val="3"/>
  </w:num>
  <w:num w:numId="6" w16cid:durableId="504169842">
    <w:abstractNumId w:val="3"/>
  </w:num>
  <w:num w:numId="7" w16cid:durableId="972634914">
    <w:abstractNumId w:val="7"/>
  </w:num>
  <w:num w:numId="8" w16cid:durableId="1148597110">
    <w:abstractNumId w:val="7"/>
  </w:num>
  <w:num w:numId="9" w16cid:durableId="684088220">
    <w:abstractNumId w:val="7"/>
  </w:num>
  <w:num w:numId="10" w16cid:durableId="856621819">
    <w:abstractNumId w:val="6"/>
  </w:num>
  <w:num w:numId="11" w16cid:durableId="2088726244">
    <w:abstractNumId w:val="5"/>
  </w:num>
  <w:num w:numId="12" w16cid:durableId="481504819">
    <w:abstractNumId w:val="5"/>
  </w:num>
  <w:num w:numId="13" w16cid:durableId="1365790070">
    <w:abstractNumId w:val="5"/>
  </w:num>
  <w:num w:numId="14" w16cid:durableId="68813226">
    <w:abstractNumId w:val="0"/>
  </w:num>
  <w:num w:numId="15" w16cid:durableId="988435399">
    <w:abstractNumId w:val="0"/>
  </w:num>
  <w:num w:numId="16" w16cid:durableId="157888620">
    <w:abstractNumId w:val="0"/>
  </w:num>
  <w:num w:numId="17" w16cid:durableId="273710259">
    <w:abstractNumId w:val="3"/>
  </w:num>
  <w:num w:numId="18" w16cid:durableId="346098271">
    <w:abstractNumId w:val="3"/>
  </w:num>
  <w:num w:numId="19" w16cid:durableId="1161772556">
    <w:abstractNumId w:val="3"/>
  </w:num>
  <w:num w:numId="20" w16cid:durableId="701395022">
    <w:abstractNumId w:val="7"/>
  </w:num>
  <w:num w:numId="21" w16cid:durableId="2063675099">
    <w:abstractNumId w:val="7"/>
  </w:num>
  <w:num w:numId="22" w16cid:durableId="1116826378">
    <w:abstractNumId w:val="7"/>
  </w:num>
  <w:num w:numId="23" w16cid:durableId="1002468106">
    <w:abstractNumId w:val="6"/>
  </w:num>
  <w:num w:numId="24" w16cid:durableId="165368926">
    <w:abstractNumId w:val="4"/>
  </w:num>
  <w:num w:numId="25" w16cid:durableId="2030176067">
    <w:abstractNumId w:val="4"/>
  </w:num>
  <w:num w:numId="26" w16cid:durableId="445925711">
    <w:abstractNumId w:val="4"/>
  </w:num>
  <w:num w:numId="27" w16cid:durableId="1662463095">
    <w:abstractNumId w:val="3"/>
  </w:num>
  <w:num w:numId="28" w16cid:durableId="1052122689">
    <w:abstractNumId w:val="3"/>
  </w:num>
  <w:num w:numId="29" w16cid:durableId="1845702215">
    <w:abstractNumId w:val="3"/>
  </w:num>
  <w:num w:numId="30" w16cid:durableId="1731920504">
    <w:abstractNumId w:val="3"/>
  </w:num>
  <w:num w:numId="31" w16cid:durableId="1111166296">
    <w:abstractNumId w:val="3"/>
  </w:num>
  <w:num w:numId="32" w16cid:durableId="351228077">
    <w:abstractNumId w:val="3"/>
  </w:num>
  <w:num w:numId="33" w16cid:durableId="859051438">
    <w:abstractNumId w:val="1"/>
  </w:num>
  <w:num w:numId="34" w16cid:durableId="2071877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4F"/>
    <w:rsid w:val="000423F2"/>
    <w:rsid w:val="00065A39"/>
    <w:rsid w:val="0009036E"/>
    <w:rsid w:val="000A2BD7"/>
    <w:rsid w:val="000D441F"/>
    <w:rsid w:val="000E1535"/>
    <w:rsid w:val="000E77A8"/>
    <w:rsid w:val="00147AF1"/>
    <w:rsid w:val="00157DEB"/>
    <w:rsid w:val="00174F83"/>
    <w:rsid w:val="001827FF"/>
    <w:rsid w:val="002337A7"/>
    <w:rsid w:val="00257147"/>
    <w:rsid w:val="00293552"/>
    <w:rsid w:val="002A1C9A"/>
    <w:rsid w:val="002B7EDD"/>
    <w:rsid w:val="002E27D8"/>
    <w:rsid w:val="002E45B7"/>
    <w:rsid w:val="002E7D6B"/>
    <w:rsid w:val="00307F58"/>
    <w:rsid w:val="0031301F"/>
    <w:rsid w:val="00332F98"/>
    <w:rsid w:val="00341B93"/>
    <w:rsid w:val="00350EBF"/>
    <w:rsid w:val="00357132"/>
    <w:rsid w:val="003B18E8"/>
    <w:rsid w:val="003E341B"/>
    <w:rsid w:val="003F475A"/>
    <w:rsid w:val="00410738"/>
    <w:rsid w:val="004303FB"/>
    <w:rsid w:val="00477D4C"/>
    <w:rsid w:val="004B64AB"/>
    <w:rsid w:val="004E3DC1"/>
    <w:rsid w:val="00500C49"/>
    <w:rsid w:val="005142A9"/>
    <w:rsid w:val="00570969"/>
    <w:rsid w:val="00573E3C"/>
    <w:rsid w:val="00581AB1"/>
    <w:rsid w:val="00590058"/>
    <w:rsid w:val="005A7F10"/>
    <w:rsid w:val="00622870"/>
    <w:rsid w:val="0063405F"/>
    <w:rsid w:val="00657620"/>
    <w:rsid w:val="00663E60"/>
    <w:rsid w:val="00677483"/>
    <w:rsid w:val="00695743"/>
    <w:rsid w:val="006964CF"/>
    <w:rsid w:val="006E3966"/>
    <w:rsid w:val="00700852"/>
    <w:rsid w:val="007025E4"/>
    <w:rsid w:val="00737A4D"/>
    <w:rsid w:val="007510F2"/>
    <w:rsid w:val="00756B8E"/>
    <w:rsid w:val="0077515F"/>
    <w:rsid w:val="007853F7"/>
    <w:rsid w:val="007927F8"/>
    <w:rsid w:val="00795BAE"/>
    <w:rsid w:val="007C4F19"/>
    <w:rsid w:val="00823589"/>
    <w:rsid w:val="00857290"/>
    <w:rsid w:val="00857458"/>
    <w:rsid w:val="0086617D"/>
    <w:rsid w:val="0088240E"/>
    <w:rsid w:val="00884A2E"/>
    <w:rsid w:val="008B2E14"/>
    <w:rsid w:val="008B36EA"/>
    <w:rsid w:val="008D4E88"/>
    <w:rsid w:val="00905063"/>
    <w:rsid w:val="00905B88"/>
    <w:rsid w:val="009431DF"/>
    <w:rsid w:val="00945961"/>
    <w:rsid w:val="009635F3"/>
    <w:rsid w:val="009A07EE"/>
    <w:rsid w:val="009C04CF"/>
    <w:rsid w:val="009D44C5"/>
    <w:rsid w:val="009E7381"/>
    <w:rsid w:val="00A079EE"/>
    <w:rsid w:val="00A24B3A"/>
    <w:rsid w:val="00A33BCD"/>
    <w:rsid w:val="00A44079"/>
    <w:rsid w:val="00A61000"/>
    <w:rsid w:val="00A7625C"/>
    <w:rsid w:val="00AA72F4"/>
    <w:rsid w:val="00AC0AB9"/>
    <w:rsid w:val="00B26A9E"/>
    <w:rsid w:val="00B372F3"/>
    <w:rsid w:val="00B636B4"/>
    <w:rsid w:val="00BB4B48"/>
    <w:rsid w:val="00BC3E3B"/>
    <w:rsid w:val="00BC5625"/>
    <w:rsid w:val="00BF47AE"/>
    <w:rsid w:val="00C0439E"/>
    <w:rsid w:val="00C04767"/>
    <w:rsid w:val="00C16285"/>
    <w:rsid w:val="00C91BFA"/>
    <w:rsid w:val="00CA6B33"/>
    <w:rsid w:val="00CF46EC"/>
    <w:rsid w:val="00CF7905"/>
    <w:rsid w:val="00D30C0A"/>
    <w:rsid w:val="00D604F5"/>
    <w:rsid w:val="00D810AC"/>
    <w:rsid w:val="00DB3389"/>
    <w:rsid w:val="00DF2A7D"/>
    <w:rsid w:val="00DF7B14"/>
    <w:rsid w:val="00E55DB1"/>
    <w:rsid w:val="00E62F42"/>
    <w:rsid w:val="00E975D2"/>
    <w:rsid w:val="00EE54D5"/>
    <w:rsid w:val="00F47575"/>
    <w:rsid w:val="00F514FE"/>
    <w:rsid w:val="00F7411C"/>
    <w:rsid w:val="00F85D01"/>
    <w:rsid w:val="00FB0218"/>
    <w:rsid w:val="00FB584F"/>
    <w:rsid w:val="00FF1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D5C1"/>
  <w15:docId w15:val="{8292A545-9B09-4643-B530-CACB51CA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C1"/>
    <w:rPr>
      <w:rFonts w:ascii="Epilogue" w:hAnsi="Epilogue"/>
      <w:color w:val="0C0C0C" w:themeColor="text1"/>
      <w:sz w:val="20"/>
    </w:rPr>
  </w:style>
  <w:style w:type="paragraph" w:styleId="Heading1">
    <w:name w:val="heading 1"/>
    <w:aliases w:val="Form section"/>
    <w:basedOn w:val="Normal"/>
    <w:next w:val="Normal"/>
    <w:link w:val="Heading1Char"/>
    <w:uiPriority w:val="9"/>
    <w:qFormat/>
    <w:rsid w:val="004E3DC1"/>
    <w:pPr>
      <w:spacing w:before="120" w:after="120"/>
      <w:contextualSpacing/>
      <w:outlineLvl w:val="0"/>
    </w:pPr>
    <w:rPr>
      <w:rFonts w:eastAsiaTheme="majorEastAsia" w:cstheme="majorBidi"/>
      <w:bCs/>
      <w:sz w:val="28"/>
      <w:szCs w:val="28"/>
    </w:rPr>
  </w:style>
  <w:style w:type="paragraph" w:styleId="Heading2">
    <w:name w:val="heading 2"/>
    <w:aliases w:val="Form field title"/>
    <w:basedOn w:val="Normal"/>
    <w:next w:val="Normal"/>
    <w:link w:val="Heading2Char"/>
    <w:uiPriority w:val="9"/>
    <w:unhideWhenUsed/>
    <w:rsid w:val="004E3DC1"/>
    <w:pPr>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500C49"/>
    <w:pPr>
      <w:spacing w:before="200" w:after="0" w:line="271" w:lineRule="auto"/>
      <w:outlineLvl w:val="2"/>
    </w:pPr>
    <w:rPr>
      <w:rFonts w:asciiTheme="majorHAnsi" w:eastAsiaTheme="majorEastAsia" w:hAnsiTheme="majorHAnsi" w:cstheme="majorBidi"/>
      <w:bCs/>
      <w:sz w:val="22"/>
    </w:rPr>
  </w:style>
  <w:style w:type="paragraph" w:styleId="Heading4">
    <w:name w:val="heading 4"/>
    <w:basedOn w:val="Normal"/>
    <w:next w:val="Normal"/>
    <w:link w:val="Heading4Char"/>
    <w:uiPriority w:val="9"/>
    <w:unhideWhenUsed/>
    <w:rsid w:val="00500C49"/>
    <w:p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500C49"/>
    <w:pPr>
      <w:spacing w:before="200" w:after="0"/>
      <w:outlineLvl w:val="4"/>
    </w:pPr>
    <w:rPr>
      <w:rFonts w:asciiTheme="majorHAnsi" w:eastAsiaTheme="majorEastAsia" w:hAnsiTheme="majorHAnsi" w:cstheme="majorBidi"/>
      <w:b/>
      <w:bCs/>
      <w:color w:val="858585" w:themeColor="text1" w:themeTint="80"/>
    </w:rPr>
  </w:style>
  <w:style w:type="paragraph" w:styleId="Heading6">
    <w:name w:val="heading 6"/>
    <w:basedOn w:val="Normal"/>
    <w:next w:val="Normal"/>
    <w:link w:val="Heading6Char"/>
    <w:uiPriority w:val="9"/>
    <w:unhideWhenUsed/>
    <w:rsid w:val="00500C49"/>
    <w:pPr>
      <w:spacing w:after="0" w:line="271" w:lineRule="auto"/>
      <w:outlineLvl w:val="5"/>
    </w:pPr>
    <w:rPr>
      <w:rFonts w:asciiTheme="majorHAnsi" w:eastAsiaTheme="majorEastAsia" w:hAnsiTheme="majorHAnsi" w:cstheme="majorBidi"/>
      <w:b/>
      <w:bCs/>
      <w:i/>
      <w:iCs/>
      <w:color w:val="858585" w:themeColor="text1" w:themeTint="80"/>
    </w:rPr>
  </w:style>
  <w:style w:type="paragraph" w:styleId="Heading7">
    <w:name w:val="heading 7"/>
    <w:basedOn w:val="Normal"/>
    <w:next w:val="Normal"/>
    <w:link w:val="Heading7Char"/>
    <w:uiPriority w:val="9"/>
    <w:unhideWhenUsed/>
    <w:rsid w:val="00500C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500C4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500C4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BC3F01" w:themeColor="accent1" w:themeShade="BF"/>
      <w:sz w:val="16"/>
      <w:szCs w:val="16"/>
    </w:rPr>
  </w:style>
  <w:style w:type="paragraph" w:styleId="NoSpacing">
    <w:name w:val="No Spacing"/>
    <w:basedOn w:val="Normal"/>
    <w:link w:val="NoSpacingChar"/>
    <w:uiPriority w:val="1"/>
    <w:rsid w:val="00500C49"/>
    <w:pPr>
      <w:spacing w:after="0" w:line="240" w:lineRule="auto"/>
    </w:pPr>
  </w:style>
  <w:style w:type="character" w:customStyle="1" w:styleId="NoSpacingChar">
    <w:name w:val="No Spacing Char"/>
    <w:basedOn w:val="DefaultParagraphFont"/>
    <w:link w:val="NoSpacing"/>
    <w:uiPriority w:val="1"/>
    <w:rsid w:val="00500C49"/>
  </w:style>
  <w:style w:type="paragraph" w:styleId="ListParagraph">
    <w:name w:val="List Paragraph"/>
    <w:basedOn w:val="Normal"/>
    <w:uiPriority w:val="34"/>
    <w:rsid w:val="00500C4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E5DCFD" w:themeFill="accent6" w:themeFillTint="33"/>
    </w:tcPr>
    <w:tblStylePr w:type="firstRow">
      <w:rPr>
        <w:b/>
        <w:bCs/>
      </w:rPr>
      <w:tblPr/>
      <w:tcPr>
        <w:shd w:val="clear" w:color="auto" w:fill="CBB9FB" w:themeFill="accent6" w:themeFillTint="66"/>
      </w:tcPr>
    </w:tblStylePr>
    <w:tblStylePr w:type="lastRow">
      <w:rPr>
        <w:b/>
        <w:bCs/>
        <w:color w:val="0C0C0C" w:themeColor="text1"/>
      </w:rPr>
      <w:tblPr/>
      <w:tcPr>
        <w:shd w:val="clear" w:color="auto" w:fill="CBB9FB" w:themeFill="accent6" w:themeFillTint="66"/>
      </w:tcPr>
    </w:tblStylePr>
    <w:tblStylePr w:type="firstCol">
      <w:rPr>
        <w:color w:val="FFFFFF" w:themeColor="background1"/>
      </w:rPr>
      <w:tblPr/>
      <w:tcPr>
        <w:shd w:val="clear" w:color="auto" w:fill="490CE9" w:themeFill="accent6" w:themeFillShade="BF"/>
      </w:tcPr>
    </w:tblStylePr>
    <w:tblStylePr w:type="lastCol">
      <w:rPr>
        <w:color w:val="FFFFFF" w:themeColor="background1"/>
      </w:rPr>
      <w:tblPr/>
      <w:tcPr>
        <w:shd w:val="clear" w:color="auto" w:fill="490CE9" w:themeFill="accent6" w:themeFillShade="BF"/>
      </w:tcPr>
    </w:tblStylePr>
    <w:tblStylePr w:type="band1Vert">
      <w:tblPr/>
      <w:tcPr>
        <w:shd w:val="clear" w:color="auto" w:fill="BFA8FA" w:themeFill="accent6" w:themeFillTint="7F"/>
      </w:tcPr>
    </w:tblStylePr>
    <w:tblStylePr w:type="band1Horz">
      <w:tblPr/>
      <w:tcPr>
        <w:shd w:val="clear" w:color="auto" w:fill="BFA8FA" w:themeFill="accent6" w:themeFillTint="7F"/>
      </w:tcPr>
    </w:tblStylePr>
  </w:style>
  <w:style w:type="paragraph" w:customStyle="1" w:styleId="Bullet1">
    <w:name w:val="Bullet 1"/>
    <w:basedOn w:val="Normal"/>
    <w:uiPriority w:val="5"/>
    <w:qFormat/>
    <w:rsid w:val="00500C49"/>
    <w:pPr>
      <w:numPr>
        <w:numId w:val="32"/>
      </w:numPr>
      <w:spacing w:before="60" w:after="60"/>
    </w:pPr>
    <w:rPr>
      <w:rFonts w:eastAsia="Calibri" w:cs="Arial"/>
    </w:rPr>
  </w:style>
  <w:style w:type="paragraph" w:customStyle="1" w:styleId="Bullet2">
    <w:name w:val="Bullet 2"/>
    <w:basedOn w:val="Bullet1"/>
    <w:uiPriority w:val="6"/>
    <w:qFormat/>
    <w:rsid w:val="00500C49"/>
    <w:pPr>
      <w:numPr>
        <w:ilvl w:val="1"/>
      </w:numPr>
    </w:pPr>
  </w:style>
  <w:style w:type="paragraph" w:customStyle="1" w:styleId="Bullet3">
    <w:name w:val="Bullet 3"/>
    <w:basedOn w:val="Bullet2"/>
    <w:uiPriority w:val="7"/>
    <w:rsid w:val="00500C49"/>
    <w:pPr>
      <w:numPr>
        <w:ilvl w:val="2"/>
      </w:numPr>
    </w:pPr>
  </w:style>
  <w:style w:type="paragraph" w:styleId="Title">
    <w:name w:val="Title"/>
    <w:aliases w:val="Form title"/>
    <w:basedOn w:val="Normal"/>
    <w:next w:val="Normal"/>
    <w:link w:val="TitleChar"/>
    <w:uiPriority w:val="10"/>
    <w:rsid w:val="004E3DC1"/>
    <w:pPr>
      <w:pBdr>
        <w:bottom w:val="single" w:sz="4" w:space="1" w:color="auto"/>
      </w:pBdr>
      <w:spacing w:line="240" w:lineRule="auto"/>
      <w:contextualSpacing/>
    </w:pPr>
    <w:rPr>
      <w:rFonts w:eastAsiaTheme="majorEastAsia" w:cstheme="majorBidi"/>
      <w:spacing w:val="5"/>
      <w:sz w:val="44"/>
      <w:szCs w:val="52"/>
    </w:rPr>
  </w:style>
  <w:style w:type="character" w:customStyle="1" w:styleId="TitleChar">
    <w:name w:val="Title Char"/>
    <w:aliases w:val="Form title Char"/>
    <w:basedOn w:val="DefaultParagraphFont"/>
    <w:link w:val="Title"/>
    <w:uiPriority w:val="10"/>
    <w:rsid w:val="004E3DC1"/>
    <w:rPr>
      <w:rFonts w:ascii="Epilogue" w:eastAsiaTheme="majorEastAsia" w:hAnsi="Epilogue" w:cstheme="majorBidi"/>
      <w:color w:val="0C0C0C" w:themeColor="text1"/>
      <w:spacing w:val="5"/>
      <w:sz w:val="44"/>
      <w:szCs w:val="52"/>
    </w:rPr>
  </w:style>
  <w:style w:type="character" w:customStyle="1" w:styleId="Heading1Char">
    <w:name w:val="Heading 1 Char"/>
    <w:aliases w:val="Form section Char"/>
    <w:basedOn w:val="DefaultParagraphFont"/>
    <w:link w:val="Heading1"/>
    <w:uiPriority w:val="9"/>
    <w:rsid w:val="004E3DC1"/>
    <w:rPr>
      <w:rFonts w:ascii="Epilogue" w:eastAsiaTheme="majorEastAsia" w:hAnsi="Epilogue" w:cstheme="majorBidi"/>
      <w:bCs/>
      <w:color w:val="0C0C0C" w:themeColor="text1"/>
      <w:sz w:val="28"/>
      <w:szCs w:val="28"/>
    </w:rPr>
  </w:style>
  <w:style w:type="character" w:customStyle="1" w:styleId="Heading2Char">
    <w:name w:val="Heading 2 Char"/>
    <w:aliases w:val="Form field title Char"/>
    <w:basedOn w:val="DefaultParagraphFont"/>
    <w:link w:val="Heading2"/>
    <w:uiPriority w:val="9"/>
    <w:rsid w:val="004E3DC1"/>
    <w:rPr>
      <w:rFonts w:ascii="Epilogue" w:eastAsiaTheme="majorEastAsia" w:hAnsi="Epilogue" w:cstheme="majorBidi"/>
      <w:b/>
      <w:bCs/>
      <w:color w:val="0C0C0C" w:themeColor="text1"/>
      <w:sz w:val="20"/>
      <w:szCs w:val="26"/>
    </w:rPr>
  </w:style>
  <w:style w:type="character" w:customStyle="1" w:styleId="Heading3Char">
    <w:name w:val="Heading 3 Char"/>
    <w:basedOn w:val="DefaultParagraphFont"/>
    <w:link w:val="Heading3"/>
    <w:uiPriority w:val="9"/>
    <w:rsid w:val="00500C49"/>
    <w:rPr>
      <w:rFonts w:asciiTheme="majorHAnsi" w:eastAsiaTheme="majorEastAsia" w:hAnsiTheme="majorHAnsi" w:cstheme="majorBidi"/>
      <w:bCs/>
      <w:color w:val="0C0C0C" w:themeColor="text1"/>
    </w:rPr>
  </w:style>
  <w:style w:type="character" w:customStyle="1" w:styleId="Heading4Char">
    <w:name w:val="Heading 4 Char"/>
    <w:basedOn w:val="DefaultParagraphFont"/>
    <w:link w:val="Heading4"/>
    <w:uiPriority w:val="9"/>
    <w:rsid w:val="00500C49"/>
    <w:rPr>
      <w:rFonts w:asciiTheme="majorHAnsi" w:eastAsiaTheme="majorEastAsia" w:hAnsiTheme="majorHAnsi" w:cstheme="majorBidi"/>
      <w:bCs/>
      <w:i/>
      <w:iCs/>
      <w:color w:val="0C0C0C" w:themeColor="text1"/>
      <w:sz w:val="18"/>
    </w:rPr>
  </w:style>
  <w:style w:type="character" w:customStyle="1" w:styleId="Heading5Char">
    <w:name w:val="Heading 5 Char"/>
    <w:basedOn w:val="DefaultParagraphFont"/>
    <w:link w:val="Heading5"/>
    <w:uiPriority w:val="9"/>
    <w:rsid w:val="00500C49"/>
    <w:rPr>
      <w:rFonts w:asciiTheme="majorHAnsi" w:eastAsiaTheme="majorEastAsia" w:hAnsiTheme="majorHAnsi" w:cstheme="majorBidi"/>
      <w:b/>
      <w:bCs/>
      <w:color w:val="858585" w:themeColor="text1" w:themeTint="80"/>
    </w:rPr>
  </w:style>
  <w:style w:type="character" w:customStyle="1" w:styleId="Heading6Char">
    <w:name w:val="Heading 6 Char"/>
    <w:basedOn w:val="DefaultParagraphFont"/>
    <w:link w:val="Heading6"/>
    <w:uiPriority w:val="9"/>
    <w:rsid w:val="00500C49"/>
    <w:rPr>
      <w:rFonts w:asciiTheme="majorHAnsi" w:eastAsiaTheme="majorEastAsia" w:hAnsiTheme="majorHAnsi" w:cstheme="majorBidi"/>
      <w:b/>
      <w:bCs/>
      <w:i/>
      <w:iCs/>
      <w:color w:val="858585" w:themeColor="text1" w:themeTint="80"/>
    </w:rPr>
  </w:style>
  <w:style w:type="character" w:customStyle="1" w:styleId="Heading7Char">
    <w:name w:val="Heading 7 Char"/>
    <w:basedOn w:val="DefaultParagraphFont"/>
    <w:link w:val="Heading7"/>
    <w:uiPriority w:val="9"/>
    <w:rsid w:val="00500C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00C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00C49"/>
    <w:rPr>
      <w:rFonts w:asciiTheme="majorHAnsi" w:eastAsiaTheme="majorEastAsia" w:hAnsiTheme="majorHAnsi" w:cstheme="majorBidi"/>
      <w:i/>
      <w:iCs/>
      <w:spacing w:val="5"/>
      <w:sz w:val="20"/>
      <w:szCs w:val="20"/>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FC5602"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0C0C0C"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style>
  <w:style w:type="paragraph" w:styleId="TOCHeading">
    <w:name w:val="TOC Heading"/>
    <w:basedOn w:val="Heading1"/>
    <w:next w:val="Normal"/>
    <w:uiPriority w:val="39"/>
    <w:unhideWhenUsed/>
    <w:rsid w:val="00500C49"/>
    <w:pPr>
      <w:outlineLvl w:val="9"/>
    </w:pPr>
    <w:rPr>
      <w:lang w:bidi="en-US"/>
    </w:rPr>
  </w:style>
  <w:style w:type="paragraph" w:styleId="BalloonText">
    <w:name w:val="Balloon Text"/>
    <w:basedOn w:val="Normal"/>
    <w:link w:val="BalloonTextChar"/>
    <w:uiPriority w:val="99"/>
    <w:semiHidden/>
    <w:unhideWhenUsed/>
    <w:rsid w:val="00157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basedOn w:val="Normal"/>
    <w:next w:val="Normal"/>
    <w:link w:val="SubtitleChar"/>
    <w:uiPriority w:val="11"/>
    <w:rsid w:val="00500C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C49"/>
    <w:rPr>
      <w:rFonts w:asciiTheme="majorHAnsi" w:eastAsiaTheme="majorEastAsia" w:hAnsiTheme="majorHAnsi" w:cstheme="majorBidi"/>
      <w:i/>
      <w:iCs/>
      <w:spacing w:val="13"/>
      <w:sz w:val="24"/>
      <w:szCs w:val="24"/>
    </w:rPr>
  </w:style>
  <w:style w:type="character" w:styleId="Strong">
    <w:name w:val="Strong"/>
    <w:uiPriority w:val="22"/>
    <w:rsid w:val="00500C49"/>
    <w:rPr>
      <w:b/>
      <w:bCs/>
    </w:rPr>
  </w:style>
  <w:style w:type="character" w:styleId="Emphasis">
    <w:name w:val="Emphasis"/>
    <w:uiPriority w:val="20"/>
    <w:rsid w:val="00500C49"/>
    <w:rPr>
      <w:b/>
      <w:bCs/>
      <w:i/>
      <w:iCs/>
      <w:spacing w:val="10"/>
      <w:bdr w:val="none" w:sz="0" w:space="0" w:color="auto"/>
      <w:shd w:val="clear" w:color="auto" w:fill="auto"/>
    </w:rPr>
  </w:style>
  <w:style w:type="paragraph" w:styleId="Quote">
    <w:name w:val="Quote"/>
    <w:basedOn w:val="Normal"/>
    <w:next w:val="Normal"/>
    <w:link w:val="QuoteChar"/>
    <w:uiPriority w:val="29"/>
    <w:rsid w:val="00500C49"/>
    <w:pPr>
      <w:spacing w:before="200" w:after="0"/>
      <w:ind w:left="360" w:right="360"/>
    </w:pPr>
    <w:rPr>
      <w:i/>
      <w:iCs/>
    </w:rPr>
  </w:style>
  <w:style w:type="character" w:customStyle="1" w:styleId="QuoteChar">
    <w:name w:val="Quote Char"/>
    <w:basedOn w:val="DefaultParagraphFont"/>
    <w:link w:val="Quote"/>
    <w:uiPriority w:val="29"/>
    <w:rsid w:val="00500C49"/>
    <w:rPr>
      <w:i/>
      <w:iCs/>
    </w:rPr>
  </w:style>
  <w:style w:type="paragraph" w:styleId="IntenseQuote">
    <w:name w:val="Intense Quote"/>
    <w:basedOn w:val="Normal"/>
    <w:next w:val="Normal"/>
    <w:link w:val="IntenseQuoteChar"/>
    <w:uiPriority w:val="30"/>
    <w:rsid w:val="00500C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C49"/>
    <w:rPr>
      <w:b/>
      <w:bCs/>
      <w:i/>
      <w:iCs/>
    </w:rPr>
  </w:style>
  <w:style w:type="character" w:styleId="SubtleEmphasis">
    <w:name w:val="Subtle Emphasis"/>
    <w:uiPriority w:val="19"/>
    <w:rsid w:val="00500C49"/>
    <w:rPr>
      <w:i/>
      <w:iCs/>
    </w:rPr>
  </w:style>
  <w:style w:type="character" w:styleId="IntenseEmphasis">
    <w:name w:val="Intense Emphasis"/>
    <w:uiPriority w:val="21"/>
    <w:rsid w:val="00500C49"/>
    <w:rPr>
      <w:b/>
      <w:bCs/>
    </w:rPr>
  </w:style>
  <w:style w:type="character" w:styleId="SubtleReference">
    <w:name w:val="Subtle Reference"/>
    <w:uiPriority w:val="31"/>
    <w:rsid w:val="00500C49"/>
    <w:rPr>
      <w:smallCaps/>
    </w:rPr>
  </w:style>
  <w:style w:type="character" w:styleId="IntenseReference">
    <w:name w:val="Intense Reference"/>
    <w:uiPriority w:val="32"/>
    <w:rsid w:val="00500C49"/>
    <w:rPr>
      <w:smallCaps/>
      <w:spacing w:val="5"/>
      <w:u w:val="single"/>
    </w:rPr>
  </w:style>
  <w:style w:type="character" w:styleId="BookTitle">
    <w:name w:val="Book Title"/>
    <w:uiPriority w:val="33"/>
    <w:rsid w:val="00500C49"/>
    <w:rPr>
      <w:i/>
      <w:iCs/>
      <w:smallCaps/>
      <w:spacing w:val="5"/>
    </w:rPr>
  </w:style>
  <w:style w:type="character" w:styleId="PlaceholderText">
    <w:name w:val="Placeholder Text"/>
    <w:basedOn w:val="DefaultParagraphFont"/>
    <w:uiPriority w:val="99"/>
    <w:semiHidden/>
    <w:rsid w:val="00CF7905"/>
    <w:rPr>
      <w:color w:val="808080"/>
    </w:rPr>
  </w:style>
  <w:style w:type="paragraph" w:styleId="Header">
    <w:name w:val="header"/>
    <w:basedOn w:val="Normal"/>
    <w:link w:val="HeaderChar"/>
    <w:uiPriority w:val="99"/>
    <w:unhideWhenUsed/>
    <w:rsid w:val="00700852"/>
    <w:pPr>
      <w:tabs>
        <w:tab w:val="center" w:pos="4513"/>
        <w:tab w:val="right" w:pos="9026"/>
      </w:tabs>
      <w:spacing w:line="240" w:lineRule="auto"/>
    </w:pPr>
  </w:style>
  <w:style w:type="character" w:customStyle="1" w:styleId="HeaderChar">
    <w:name w:val="Header Char"/>
    <w:basedOn w:val="DefaultParagraphFont"/>
    <w:link w:val="Header"/>
    <w:uiPriority w:val="99"/>
    <w:rsid w:val="00700852"/>
  </w:style>
  <w:style w:type="paragraph" w:styleId="Footer">
    <w:name w:val="footer"/>
    <w:basedOn w:val="Normal"/>
    <w:link w:val="FooterChar"/>
    <w:uiPriority w:val="99"/>
    <w:unhideWhenUsed/>
    <w:rsid w:val="00700852"/>
    <w:pPr>
      <w:tabs>
        <w:tab w:val="center" w:pos="4513"/>
        <w:tab w:val="right" w:pos="9026"/>
      </w:tabs>
      <w:spacing w:line="240" w:lineRule="auto"/>
    </w:pPr>
  </w:style>
  <w:style w:type="character" w:customStyle="1" w:styleId="FooterChar">
    <w:name w:val="Footer Char"/>
    <w:basedOn w:val="DefaultParagraphFont"/>
    <w:link w:val="Footer"/>
    <w:uiPriority w:val="99"/>
    <w:rsid w:val="00700852"/>
  </w:style>
  <w:style w:type="paragraph" w:customStyle="1" w:styleId="Prompttext">
    <w:name w:val="Prompt text"/>
    <w:basedOn w:val="Normal"/>
    <w:link w:val="PrompttextChar"/>
    <w:rsid w:val="00065A39"/>
    <w:pPr>
      <w:spacing w:after="0" w:line="240" w:lineRule="auto"/>
    </w:pPr>
    <w:rPr>
      <w:sz w:val="14"/>
      <w:szCs w:val="16"/>
    </w:rPr>
  </w:style>
  <w:style w:type="character" w:customStyle="1" w:styleId="PrompttextChar">
    <w:name w:val="Prompt text Char"/>
    <w:basedOn w:val="DefaultParagraphFont"/>
    <w:link w:val="Prompttext"/>
    <w:rsid w:val="00065A39"/>
    <w:rPr>
      <w:color w:val="0C0C0C" w:themeColor="text1"/>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ffMgmt\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74DFB92DAE347A388197FCD4CFB5B07"/>
        <w:category>
          <w:name w:val="General"/>
          <w:gallery w:val="placeholder"/>
        </w:category>
        <w:types>
          <w:type w:val="bbPlcHdr"/>
        </w:types>
        <w:behaviors>
          <w:behavior w:val="content"/>
        </w:behaviors>
        <w:guid w:val="{F8326A09-67E5-4B7D-BABC-F34059782703}"/>
      </w:docPartPr>
      <w:docPartBody>
        <w:p w:rsidR="00000000" w:rsidRDefault="00000000">
          <w:pPr>
            <w:pStyle w:val="A74DFB92DAE347A388197FCD4CFB5B07"/>
          </w:pPr>
          <w:r w:rsidRPr="00CC2E84">
            <w:rPr>
              <w:rStyle w:val="PlaceholderText"/>
            </w:rPr>
            <w:t>Click or tap here to enter text.</w:t>
          </w:r>
        </w:p>
      </w:docPartBody>
    </w:docPart>
    <w:docPart>
      <w:docPartPr>
        <w:name w:val="9748584BA7ED4B7C97B1713DA6BDDB3B"/>
        <w:category>
          <w:name w:val="General"/>
          <w:gallery w:val="placeholder"/>
        </w:category>
        <w:types>
          <w:type w:val="bbPlcHdr"/>
        </w:types>
        <w:behaviors>
          <w:behavior w:val="content"/>
        </w:behaviors>
        <w:guid w:val="{C1885536-675F-4D9F-9975-226A9FCF93B0}"/>
      </w:docPartPr>
      <w:docPartBody>
        <w:p w:rsidR="00000000" w:rsidRDefault="00000000">
          <w:pPr>
            <w:pStyle w:val="9748584BA7ED4B7C97B1713DA6BDDB3B"/>
          </w:pPr>
          <w:r w:rsidRPr="00CC2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Epilogue">
    <w:panose1 w:val="00000000000000000000"/>
    <w:charset w:val="00"/>
    <w:family w:val="auto"/>
    <w:pitch w:val="variable"/>
    <w:sig w:usb0="A000007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Epilogue SemiBold">
    <w:panose1 w:val="00000000000000000000"/>
    <w:charset w:val="00"/>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52"/>
    <w:rsid w:val="001221C1"/>
    <w:rsid w:val="00797A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A52"/>
  </w:style>
  <w:style w:type="paragraph" w:customStyle="1" w:styleId="A74DFB92DAE347A388197FCD4CFB5B07">
    <w:name w:val="A74DFB92DAE347A388197FCD4CFB5B07"/>
  </w:style>
  <w:style w:type="paragraph" w:customStyle="1" w:styleId="9748584BA7ED4B7C97B1713DA6BDDB3B">
    <w:name w:val="9748584BA7ED4B7C97B1713DA6BDDB3B"/>
  </w:style>
  <w:style w:type="paragraph" w:customStyle="1" w:styleId="CAEF3F0B15E046AD91A6112CA542466C">
    <w:name w:val="CAEF3F0B15E046AD91A6112CA542466C"/>
    <w:rsid w:val="0079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HR Wallingford rebrand">
  <a:themeElements>
    <a:clrScheme name="HR Wallingford">
      <a:dk1>
        <a:srgbClr val="0C0C0C"/>
      </a:dk1>
      <a:lt1>
        <a:sysClr val="window" lastClr="FFFFFF"/>
      </a:lt1>
      <a:dk2>
        <a:srgbClr val="003F5A"/>
      </a:dk2>
      <a:lt2>
        <a:srgbClr val="E5E5E5"/>
      </a:lt2>
      <a:accent1>
        <a:srgbClr val="FC5602"/>
      </a:accent1>
      <a:accent2>
        <a:srgbClr val="003F5A"/>
      </a:accent2>
      <a:accent3>
        <a:srgbClr val="A5A5A5"/>
      </a:accent3>
      <a:accent4>
        <a:srgbClr val="7FF6E8"/>
      </a:accent4>
      <a:accent5>
        <a:srgbClr val="5ACA8F"/>
      </a:accent5>
      <a:accent6>
        <a:srgbClr val="8052F6"/>
      </a:accent6>
      <a:hlink>
        <a:srgbClr val="FC5602"/>
      </a:hlink>
      <a:folHlink>
        <a:srgbClr val="003F5A"/>
      </a:folHlink>
    </a:clrScheme>
    <a:fontScheme name="HR Wallingford Epilogue theme fonts">
      <a:majorFont>
        <a:latin typeface="Epilogue SemiBold"/>
        <a:ea typeface=""/>
        <a:cs typeface=""/>
      </a:majorFont>
      <a:minorFont>
        <a:latin typeface="Epilog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A0A71-290F-4657-85AE-E7111DBF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description.dotx</Template>
  <TotalTime>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Driver declaration FM020-R5-0.dotx : GLOBAL_VERSION=1.17 : GLOBAL_DATE=28 September 2022</vt:lpstr>
    </vt:vector>
  </TitlesOfParts>
  <Company>HR Wallingford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FM106 R1</dc:title>
  <dc:creator>Helen Stevenson</dc:creator>
  <dc:description>Document last saved:_x000d_
User: hls (EINICH)_x000d_
When: Wed 15 February 2023 10:19</dc:description>
  <cp:lastModifiedBy>Helen Stevenson</cp:lastModifiedBy>
  <cp:revision>1</cp:revision>
  <cp:lastPrinted>2016-09-12T14:00:00Z</cp:lastPrinted>
  <dcterms:created xsi:type="dcterms:W3CDTF">2024-04-09T12:28:00Z</dcterms:created>
  <dcterms:modified xsi:type="dcterms:W3CDTF">2024-04-09T12:32:00Z</dcterms:modified>
</cp:coreProperties>
</file>