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2403" w14:textId="75478145" w:rsidR="00CA6B33" w:rsidRDefault="00495A1E" w:rsidP="008B2E14">
      <w:pPr>
        <w:pStyle w:val="Heading1"/>
      </w:pPr>
      <w:sdt>
        <w:sdtPr>
          <w:rPr>
            <w:b/>
            <w:bCs w:val="0"/>
          </w:rPr>
          <w:id w:val="182320011"/>
          <w:lock w:val="contentLocked"/>
          <w:placeholder>
            <w:docPart w:val="2685F64FFE8F4677B3457D122CDC5297"/>
          </w:placeholder>
        </w:sdtPr>
        <w:sdtEndPr/>
        <w:sdtContent>
          <w:r w:rsidR="00307F58" w:rsidRPr="0031301F">
            <w:rPr>
              <w:b/>
              <w:bCs w:val="0"/>
            </w:rPr>
            <w:t>Job title:</w:t>
          </w:r>
          <w:r w:rsidR="00307F58">
            <w:rPr>
              <w:b/>
              <w:bCs w:val="0"/>
            </w:rPr>
            <w:t xml:space="preserve"> </w:t>
          </w:r>
        </w:sdtContent>
      </w:sdt>
      <w:sdt>
        <w:sdtPr>
          <w:id w:val="-1042281473"/>
          <w:placeholder>
            <w:docPart w:val="683AF7EF05E84BCDBEB635F1248896E6"/>
          </w:placeholder>
        </w:sdtPr>
        <w:sdtEndPr/>
        <w:sdtContent>
          <w:r w:rsidR="003516E4">
            <w:t>Head of Marketing &amp; Communication</w:t>
          </w:r>
        </w:sdtContent>
      </w:sdt>
      <w:r w:rsidR="00344D14">
        <w:t>s</w:t>
      </w:r>
    </w:p>
    <w:p w14:paraId="03F17A42" w14:textId="77777777" w:rsidR="008B2E14" w:rsidRDefault="008B2E14" w:rsidP="00A61000">
      <w:pPr>
        <w:pStyle w:val="NoSpacing"/>
      </w:pPr>
    </w:p>
    <w:tbl>
      <w:tblPr>
        <w:tblStyle w:val="TableGrid"/>
        <w:tblW w:w="9629" w:type="dxa"/>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Layout w:type="fixed"/>
        <w:tblCellMar>
          <w:top w:w="85" w:type="dxa"/>
          <w:bottom w:w="85" w:type="dxa"/>
        </w:tblCellMar>
        <w:tblLook w:val="04A0" w:firstRow="1" w:lastRow="0" w:firstColumn="1" w:lastColumn="0" w:noHBand="0" w:noVBand="1"/>
      </w:tblPr>
      <w:tblGrid>
        <w:gridCol w:w="9629"/>
      </w:tblGrid>
      <w:tr w:rsidR="00D810AC" w:rsidRPr="00DF2A7D" w14:paraId="33732CC9" w14:textId="77777777" w:rsidTr="00A61000">
        <w:tc>
          <w:tcPr>
            <w:tcW w:w="9629" w:type="dxa"/>
            <w:shd w:val="clear" w:color="auto" w:fill="F2F2F2" w:themeFill="background1" w:themeFillShade="F2"/>
          </w:tcPr>
          <w:p w14:paraId="61EBF06B" w14:textId="77777777" w:rsidR="00D810AC" w:rsidRPr="00DF2A7D" w:rsidRDefault="00A61000" w:rsidP="00A61000">
            <w:pPr>
              <w:pStyle w:val="Heading2"/>
              <w:rPr>
                <w:sz w:val="18"/>
                <w:szCs w:val="18"/>
              </w:rPr>
            </w:pPr>
            <w:r>
              <w:t xml:space="preserve">Main </w:t>
            </w:r>
            <w:r w:rsidRPr="00A61000">
              <w:t>purpose</w:t>
            </w:r>
          </w:p>
        </w:tc>
      </w:tr>
      <w:tr w:rsidR="00A61000" w:rsidRPr="00DF2A7D" w14:paraId="3175B7A0" w14:textId="77777777" w:rsidTr="00A61000">
        <w:tc>
          <w:tcPr>
            <w:tcW w:w="9629" w:type="dxa"/>
            <w:tcBorders>
              <w:top w:val="single" w:sz="2" w:space="0" w:color="0C0C0C" w:themeColor="text1"/>
              <w:bottom w:val="single" w:sz="8" w:space="0" w:color="0C0C0C" w:themeColor="text1"/>
            </w:tcBorders>
          </w:tcPr>
          <w:p w14:paraId="54178BAB" w14:textId="03AD9069" w:rsidR="00CC5D9D" w:rsidRPr="00CC5D9D" w:rsidRDefault="00CC5D9D" w:rsidP="006C2896">
            <w:r w:rsidRPr="00CC5D9D">
              <w:t xml:space="preserve">HR Wallingford </w:t>
            </w:r>
            <w:r w:rsidR="00F6737E">
              <w:t>creates</w:t>
            </w:r>
            <w:r w:rsidRPr="00CC5D9D">
              <w:t xml:space="preserve"> smart, resilient solutions across the natural and built environments to help everyone live and work more sustainably with water. By harnessing research, data insights and the power of our collective expertise, we help the world to better understand the changing influence and impact of water. Drawing on our unique capabilities in science, technology and engineering, we invest in knowledge and innovate to address future challenges and opportunities.</w:t>
            </w:r>
          </w:p>
          <w:p w14:paraId="4F8483C5" w14:textId="77777777" w:rsidR="00CC5D9D" w:rsidRDefault="00CC5D9D" w:rsidP="006C2896"/>
          <w:p w14:paraId="3B867CFD" w14:textId="3CDFAA18" w:rsidR="00F351E7" w:rsidRPr="002B7EDD" w:rsidRDefault="00167FA6" w:rsidP="006C2896">
            <w:r>
              <w:t>The</w:t>
            </w:r>
            <w:r w:rsidR="00CC5D9D" w:rsidRPr="00CC5D9D">
              <w:t xml:space="preserve"> Head of Marketing and Communication </w:t>
            </w:r>
            <w:r>
              <w:t xml:space="preserve">will </w:t>
            </w:r>
            <w:r w:rsidR="00CC5D9D" w:rsidRPr="00CC5D9D">
              <w:t xml:space="preserve">lead the development and delivery of HR Wallingford’s marketing and communication </w:t>
            </w:r>
            <w:r w:rsidR="00F6737E">
              <w:t>strategy</w:t>
            </w:r>
            <w:r w:rsidR="00344D14" w:rsidRPr="00344D14">
              <w:t>, enhancing brand visibility, reputation, and engagement global</w:t>
            </w:r>
            <w:r w:rsidR="00F6737E">
              <w:t>ly</w:t>
            </w:r>
            <w:r w:rsidR="00344D14" w:rsidRPr="00344D14">
              <w:t xml:space="preserve">. </w:t>
            </w:r>
            <w:r w:rsidR="00C869AA">
              <w:t>R</w:t>
            </w:r>
            <w:r w:rsidR="00CC5D9D">
              <w:t>eporting to the Director of Markets and Research, t</w:t>
            </w:r>
            <w:r w:rsidR="00344D14" w:rsidRPr="00344D14">
              <w:t xml:space="preserve">his </w:t>
            </w:r>
            <w:r w:rsidR="00167FDF">
              <w:t xml:space="preserve">role </w:t>
            </w:r>
            <w:r w:rsidR="00344D14" w:rsidRPr="00344D14">
              <w:t xml:space="preserve">will drive strategic campaigns, oversee internal and external communication, and ensure alignment with </w:t>
            </w:r>
            <w:r w:rsidR="00344D14">
              <w:t>HR Wallingford’s strategic</w:t>
            </w:r>
            <w:r w:rsidR="00344D14" w:rsidRPr="00344D14">
              <w:t xml:space="preserve"> objectives and values.</w:t>
            </w:r>
            <w:r w:rsidR="0086317E">
              <w:t xml:space="preserve"> </w:t>
            </w:r>
            <w:r w:rsidR="00CA369B">
              <w:t>T</w:t>
            </w:r>
            <w:r w:rsidR="0086317E">
              <w:t xml:space="preserve">his role is key to positioning us as a global, world class leader in </w:t>
            </w:r>
            <w:r w:rsidR="00291E20">
              <w:t>sustainable water solutions</w:t>
            </w:r>
            <w:r w:rsidR="00D8057D">
              <w:t xml:space="preserve"> and covers our consultancy, equipment, software and property businesses.</w:t>
            </w:r>
          </w:p>
        </w:tc>
      </w:tr>
    </w:tbl>
    <w:p w14:paraId="2830C8DA" w14:textId="77777777" w:rsidR="00CC5D9D" w:rsidRDefault="00CC5D9D" w:rsidP="00A61000">
      <w:pPr>
        <w:pStyle w:val="NoSpacing"/>
      </w:pPr>
    </w:p>
    <w:p w14:paraId="02035538" w14:textId="77777777" w:rsidR="00CC5D9D" w:rsidRDefault="00CC5D9D" w:rsidP="00A61000">
      <w:pPr>
        <w:pStyle w:val="NoSpacing"/>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D810AC" w:rsidRPr="00C04767" w14:paraId="6D0B690F" w14:textId="77777777" w:rsidTr="00332DFF">
        <w:tc>
          <w:tcPr>
            <w:tcW w:w="9854" w:type="dxa"/>
            <w:shd w:val="clear" w:color="auto" w:fill="F2F2F2" w:themeFill="background1" w:themeFillShade="F2"/>
          </w:tcPr>
          <w:p w14:paraId="316439D5" w14:textId="77777777" w:rsidR="00D810AC" w:rsidRPr="00C04767" w:rsidRDefault="00D810AC" w:rsidP="00332DFF">
            <w:pPr>
              <w:pStyle w:val="Heading2"/>
            </w:pPr>
            <w:r>
              <w:t>Main duties</w:t>
            </w:r>
          </w:p>
        </w:tc>
      </w:tr>
      <w:tr w:rsidR="00D810AC" w:rsidRPr="00C04767" w14:paraId="27E9AC25" w14:textId="77777777" w:rsidTr="00332DFF">
        <w:tc>
          <w:tcPr>
            <w:tcW w:w="9854" w:type="dxa"/>
          </w:tcPr>
          <w:p w14:paraId="377CA81E" w14:textId="77777777" w:rsidR="00C869AA" w:rsidRDefault="00C869AA" w:rsidP="00C869AA"/>
          <w:p w14:paraId="67AC1EB1" w14:textId="5FE6F8A6" w:rsidR="00C869AA" w:rsidRPr="00CC5D9D" w:rsidRDefault="00C869AA" w:rsidP="00C869AA">
            <w:r w:rsidRPr="00CC5D9D">
              <w:t>This role encompasses the full spectrum of marketing and communication responsibilities and plays a pivotal role in promoting HR Wallingford’s</w:t>
            </w:r>
            <w:r>
              <w:t xml:space="preserve"> brand, expertise and technology</w:t>
            </w:r>
            <w:r w:rsidRPr="00CC5D9D">
              <w:t>.</w:t>
            </w:r>
          </w:p>
          <w:p w14:paraId="51225F2A" w14:textId="77777777" w:rsidR="00C869AA" w:rsidRDefault="00C869AA" w:rsidP="00C869AA">
            <w:pPr>
              <w:pStyle w:val="NoSpacing"/>
              <w:rPr>
                <w:b/>
                <w:bCs/>
              </w:rPr>
            </w:pPr>
          </w:p>
          <w:p w14:paraId="2EA9B98E" w14:textId="77777777" w:rsidR="00C869AA" w:rsidRPr="00CC5D9D" w:rsidRDefault="00C869AA" w:rsidP="00C869AA">
            <w:pPr>
              <w:pStyle w:val="NoSpacing"/>
            </w:pPr>
            <w:r w:rsidRPr="00CC5D9D">
              <w:rPr>
                <w:b/>
                <w:bCs/>
              </w:rPr>
              <w:t xml:space="preserve">Marketing </w:t>
            </w:r>
            <w:r>
              <w:rPr>
                <w:b/>
                <w:bCs/>
              </w:rPr>
              <w:t>communications s</w:t>
            </w:r>
            <w:r w:rsidRPr="00CC5D9D">
              <w:rPr>
                <w:b/>
                <w:bCs/>
              </w:rPr>
              <w:t>trategy</w:t>
            </w:r>
          </w:p>
          <w:p w14:paraId="40405A9F" w14:textId="458669A9" w:rsidR="00C869AA" w:rsidRPr="0044418A" w:rsidRDefault="00C869AA" w:rsidP="00093C5F">
            <w:pPr>
              <w:pStyle w:val="Bullet1"/>
            </w:pPr>
            <w:r w:rsidRPr="0044418A">
              <w:t xml:space="preserve">Develop and implement </w:t>
            </w:r>
            <w:r w:rsidR="00F6737E" w:rsidRPr="0044418A">
              <w:t>a</w:t>
            </w:r>
            <w:r w:rsidRPr="0044418A">
              <w:t xml:space="preserve"> multi-channel marketing and communication strategy aligned with HR Wallingford’s purpose and strategic goals.</w:t>
            </w:r>
          </w:p>
          <w:p w14:paraId="7E70FDC3" w14:textId="29FF6A53" w:rsidR="00467D47" w:rsidRPr="0044418A" w:rsidRDefault="007854E1" w:rsidP="00093C5F">
            <w:pPr>
              <w:pStyle w:val="Bullet1"/>
            </w:pPr>
            <w:r>
              <w:t>A</w:t>
            </w:r>
            <w:r w:rsidR="00C869AA" w:rsidRPr="0044418A">
              <w:t xml:space="preserve">lign </w:t>
            </w:r>
            <w:r w:rsidR="00043055">
              <w:t xml:space="preserve">our </w:t>
            </w:r>
            <w:r w:rsidR="00C869AA" w:rsidRPr="0044418A">
              <w:t xml:space="preserve">communications strategies </w:t>
            </w:r>
            <w:r w:rsidR="00A8520A">
              <w:t xml:space="preserve">to </w:t>
            </w:r>
            <w:r w:rsidR="00043055">
              <w:t xml:space="preserve">support </w:t>
            </w:r>
            <w:r w:rsidR="00043055" w:rsidRPr="0044418A">
              <w:t xml:space="preserve">growth </w:t>
            </w:r>
            <w:r w:rsidR="00A04748">
              <w:t xml:space="preserve">in </w:t>
            </w:r>
            <w:r w:rsidR="00A337E1">
              <w:t xml:space="preserve">our </w:t>
            </w:r>
            <w:r w:rsidR="00A04748">
              <w:t xml:space="preserve">target </w:t>
            </w:r>
            <w:r w:rsidR="00043055" w:rsidRPr="0044418A">
              <w:t>market</w:t>
            </w:r>
            <w:r w:rsidR="00A04748">
              <w:t xml:space="preserve"> </w:t>
            </w:r>
            <w:r w:rsidR="00043055" w:rsidRPr="0044418A">
              <w:t xml:space="preserve">sectors and </w:t>
            </w:r>
            <w:r w:rsidR="00A04748">
              <w:t xml:space="preserve">regions, and </w:t>
            </w:r>
            <w:r w:rsidR="00EC61E5">
              <w:t xml:space="preserve">maximise the </w:t>
            </w:r>
            <w:r w:rsidR="00E90733">
              <w:t xml:space="preserve">reputational </w:t>
            </w:r>
            <w:r w:rsidR="00EC61E5">
              <w:t xml:space="preserve">impact of our </w:t>
            </w:r>
            <w:r w:rsidR="00B72B31">
              <w:t>research</w:t>
            </w:r>
            <w:r w:rsidR="00EC61E5">
              <w:t xml:space="preserve"> </w:t>
            </w:r>
            <w:r w:rsidR="00B72B31">
              <w:t>activities</w:t>
            </w:r>
            <w:r w:rsidR="00B57EC8">
              <w:t>.</w:t>
            </w:r>
          </w:p>
          <w:p w14:paraId="03E10B56" w14:textId="77777777" w:rsidR="00C869AA" w:rsidRPr="0044418A" w:rsidRDefault="00C869AA" w:rsidP="00093C5F">
            <w:pPr>
              <w:pStyle w:val="Bullet1"/>
            </w:pPr>
            <w:r w:rsidRPr="0044418A">
              <w:t>Develop and manage the marketing budget, ensuring cost-effective delivery of initiatives.</w:t>
            </w:r>
          </w:p>
          <w:p w14:paraId="6B7C9F28" w14:textId="77777777" w:rsidR="00C869AA" w:rsidRDefault="00C869AA" w:rsidP="00093C5F">
            <w:pPr>
              <w:pStyle w:val="Bullet1"/>
            </w:pPr>
            <w:r w:rsidRPr="0044418A">
              <w:t>Track and analyse</w:t>
            </w:r>
            <w:r w:rsidRPr="00CC5D9D">
              <w:t xml:space="preserve"> performance metrics, providing regular reports to senior leadership.</w:t>
            </w:r>
          </w:p>
          <w:p w14:paraId="26F2B539" w14:textId="77777777" w:rsidR="00C869AA" w:rsidRDefault="00C869AA" w:rsidP="00C869AA">
            <w:pPr>
              <w:pStyle w:val="NoSpacing"/>
            </w:pPr>
          </w:p>
          <w:p w14:paraId="481F1091" w14:textId="77777777" w:rsidR="00C869AA" w:rsidRDefault="00C869AA" w:rsidP="00C869AA">
            <w:pPr>
              <w:pStyle w:val="Bullet1"/>
              <w:numPr>
                <w:ilvl w:val="0"/>
                <w:numId w:val="0"/>
              </w:numPr>
              <w:ind w:left="340" w:hanging="340"/>
              <w:rPr>
                <w:b/>
                <w:bCs/>
              </w:rPr>
            </w:pPr>
            <w:r w:rsidRPr="003516E4">
              <w:rPr>
                <w:b/>
                <w:bCs/>
              </w:rPr>
              <w:t xml:space="preserve">Team </w:t>
            </w:r>
            <w:r>
              <w:rPr>
                <w:b/>
                <w:bCs/>
              </w:rPr>
              <w:t>management</w:t>
            </w:r>
          </w:p>
          <w:p w14:paraId="6ACB61BD" w14:textId="3B137060" w:rsidR="00C869AA" w:rsidRPr="0044418A" w:rsidRDefault="00C869AA" w:rsidP="00093C5F">
            <w:pPr>
              <w:pStyle w:val="Bullet1"/>
            </w:pPr>
            <w:r w:rsidRPr="0044418A">
              <w:t>Lead</w:t>
            </w:r>
            <w:r w:rsidR="00B35026" w:rsidRPr="0044418A">
              <w:t>, mentor</w:t>
            </w:r>
            <w:r w:rsidRPr="0044418A">
              <w:t xml:space="preserve"> and develop a high-performing Marcomms team, fostering a culture of creativity, innovation, and data-driven decision-making</w:t>
            </w:r>
          </w:p>
          <w:p w14:paraId="1771926A" w14:textId="77777777" w:rsidR="00C869AA" w:rsidRPr="0044418A" w:rsidRDefault="00C869AA" w:rsidP="00093C5F">
            <w:pPr>
              <w:pStyle w:val="Bullet1"/>
            </w:pPr>
            <w:r w:rsidRPr="0044418A">
              <w:t>Prepare and manage the marketing communications budget to ensure optimal allocation of resources and maximise return on investment</w:t>
            </w:r>
          </w:p>
          <w:p w14:paraId="61749A8B" w14:textId="7FD23EC2" w:rsidR="00C869AA" w:rsidRPr="0044418A" w:rsidRDefault="00C869AA" w:rsidP="00093C5F">
            <w:pPr>
              <w:pStyle w:val="Bullet1"/>
            </w:pPr>
            <w:r w:rsidRPr="0044418A">
              <w:t xml:space="preserve">Commission creative projects, </w:t>
            </w:r>
            <w:r w:rsidR="00F6737E" w:rsidRPr="0044418A">
              <w:t>manage</w:t>
            </w:r>
            <w:r w:rsidRPr="0044418A">
              <w:t xml:space="preserve"> external agencies, and </w:t>
            </w:r>
            <w:r w:rsidR="00F6737E" w:rsidRPr="0044418A">
              <w:t>oversee</w:t>
            </w:r>
            <w:r w:rsidRPr="0044418A">
              <w:t xml:space="preserve"> budge</w:t>
            </w:r>
            <w:r w:rsidR="00F6737E" w:rsidRPr="0044418A">
              <w:t xml:space="preserve">ts and </w:t>
            </w:r>
            <w:r w:rsidRPr="0044418A">
              <w:t>delivery.</w:t>
            </w:r>
          </w:p>
          <w:p w14:paraId="2D41D310" w14:textId="77777777" w:rsidR="00C869AA" w:rsidRPr="00CC5D9D" w:rsidRDefault="00C869AA" w:rsidP="00C869AA">
            <w:pPr>
              <w:pStyle w:val="Bullet1"/>
              <w:numPr>
                <w:ilvl w:val="0"/>
                <w:numId w:val="0"/>
              </w:numPr>
              <w:spacing w:line="276" w:lineRule="auto"/>
              <w:ind w:left="340"/>
            </w:pPr>
          </w:p>
          <w:p w14:paraId="5159C3B3" w14:textId="77777777" w:rsidR="00C869AA" w:rsidRPr="00CC5D9D" w:rsidRDefault="00C869AA" w:rsidP="00C869AA">
            <w:pPr>
              <w:pStyle w:val="NoSpacing"/>
            </w:pPr>
            <w:r w:rsidRPr="00CC5D9D">
              <w:rPr>
                <w:b/>
                <w:bCs/>
              </w:rPr>
              <w:t xml:space="preserve">Brand </w:t>
            </w:r>
            <w:r>
              <w:rPr>
                <w:b/>
                <w:bCs/>
              </w:rPr>
              <w:t>m</w:t>
            </w:r>
            <w:r w:rsidRPr="00CC5D9D">
              <w:rPr>
                <w:b/>
                <w:bCs/>
              </w:rPr>
              <w:t>anagement</w:t>
            </w:r>
          </w:p>
          <w:p w14:paraId="7BB597DE" w14:textId="77777777" w:rsidR="00C869AA" w:rsidRPr="0044418A" w:rsidRDefault="00C869AA" w:rsidP="00093C5F">
            <w:pPr>
              <w:pStyle w:val="Bullet1"/>
            </w:pPr>
            <w:r w:rsidRPr="0044418A">
              <w:t xml:space="preserve">Ensure consistent brand messaging and identity across all channels and assets. </w:t>
            </w:r>
          </w:p>
          <w:p w14:paraId="00902ACB" w14:textId="77777777" w:rsidR="00C869AA" w:rsidRPr="0044418A" w:rsidRDefault="00C869AA" w:rsidP="00093C5F">
            <w:pPr>
              <w:pStyle w:val="Bullet1"/>
            </w:pPr>
            <w:r w:rsidRPr="0044418A">
              <w:t>Drive initiatives to strengthen global reputation and visibility.</w:t>
            </w:r>
          </w:p>
          <w:p w14:paraId="35C66D10" w14:textId="06414E6C" w:rsidR="00C869AA" w:rsidRDefault="00C869AA" w:rsidP="00093C5F">
            <w:pPr>
              <w:pStyle w:val="Bullet1"/>
            </w:pPr>
            <w:r w:rsidRPr="0044418A">
              <w:t>Provide advice to the Executive Team/Executive Committee on reputation management, crisis communication, and employee</w:t>
            </w:r>
            <w:r>
              <w:t xml:space="preserve"> communication.</w:t>
            </w:r>
          </w:p>
          <w:p w14:paraId="1852C4F3" w14:textId="77777777" w:rsidR="00C869AA" w:rsidRPr="00CC5D9D" w:rsidRDefault="00C869AA" w:rsidP="00C869AA">
            <w:pPr>
              <w:pStyle w:val="NoSpacing"/>
              <w:ind w:left="720"/>
            </w:pPr>
          </w:p>
          <w:p w14:paraId="3A5A5DD1" w14:textId="100A0B85" w:rsidR="00C869AA" w:rsidRPr="00CC5D9D" w:rsidRDefault="00C869AA" w:rsidP="00C869AA">
            <w:pPr>
              <w:pStyle w:val="NoSpacing"/>
            </w:pPr>
            <w:r>
              <w:rPr>
                <w:b/>
                <w:bCs/>
              </w:rPr>
              <w:t>Brand</w:t>
            </w:r>
            <w:r w:rsidR="00F6737E">
              <w:rPr>
                <w:b/>
                <w:bCs/>
              </w:rPr>
              <w:t xml:space="preserve"> &amp; digital</w:t>
            </w:r>
            <w:r w:rsidRPr="00CC5D9D">
              <w:rPr>
                <w:b/>
                <w:bCs/>
              </w:rPr>
              <w:t xml:space="preserve"> </w:t>
            </w:r>
            <w:r>
              <w:rPr>
                <w:b/>
                <w:bCs/>
              </w:rPr>
              <w:t>m</w:t>
            </w:r>
            <w:r w:rsidRPr="00CC5D9D">
              <w:rPr>
                <w:b/>
                <w:bCs/>
              </w:rPr>
              <w:t>arketing</w:t>
            </w:r>
            <w:r>
              <w:rPr>
                <w:b/>
                <w:bCs/>
              </w:rPr>
              <w:t xml:space="preserve"> </w:t>
            </w:r>
          </w:p>
          <w:p w14:paraId="1DDECD64" w14:textId="1AF7208E" w:rsidR="004A7A79" w:rsidRPr="0044418A" w:rsidRDefault="004A7A79" w:rsidP="00093C5F">
            <w:pPr>
              <w:pStyle w:val="Bullet1"/>
            </w:pPr>
            <w:r w:rsidRPr="0044418A">
              <w:t>Lead the development and execution of integrated brand marketing campaigns across digital, print, and event channels to drive lead generation, engagement and brand visibility.</w:t>
            </w:r>
          </w:p>
          <w:p w14:paraId="077A3B17" w14:textId="77777777" w:rsidR="004A7A79" w:rsidRPr="0044418A" w:rsidRDefault="004A7A79" w:rsidP="00093C5F">
            <w:pPr>
              <w:pStyle w:val="Bullet1"/>
            </w:pPr>
            <w:r w:rsidRPr="0044418A">
              <w:t>Oversee the management and optimisation of all digital platforms, including websites, social media, email marketing and automation systems, and the intranet, ensuring innovation and compliance with best practice and regulatory standards.</w:t>
            </w:r>
          </w:p>
          <w:p w14:paraId="773998F3" w14:textId="77777777" w:rsidR="004A7A79" w:rsidRPr="0044418A" w:rsidRDefault="004A7A79" w:rsidP="00093C5F">
            <w:pPr>
              <w:pStyle w:val="Bullet1"/>
            </w:pPr>
            <w:r w:rsidRPr="0044418A">
              <w:t>Enhance HR Wallingford’s digital presence through data-driven insights, SEO, and targeted social media strategies, identifying opportunities to maximise reach and impact.</w:t>
            </w:r>
          </w:p>
          <w:p w14:paraId="77AD99EF" w14:textId="77777777" w:rsidR="004A7A79" w:rsidRPr="0044418A" w:rsidRDefault="004A7A79" w:rsidP="00093C5F">
            <w:pPr>
              <w:pStyle w:val="Bullet1"/>
            </w:pPr>
            <w:r w:rsidRPr="0044418A">
              <w:lastRenderedPageBreak/>
              <w:t>Define and implement a robust content strategy that champions storytelling and translates complex technical concepts into compelling, audience-focused narratives.</w:t>
            </w:r>
          </w:p>
          <w:p w14:paraId="59F7692C" w14:textId="2F64CFE1" w:rsidR="004A7A79" w:rsidRPr="0044418A" w:rsidRDefault="004A7A79" w:rsidP="00093C5F">
            <w:pPr>
              <w:pStyle w:val="Bullet1"/>
            </w:pPr>
            <w:r w:rsidRPr="0044418A">
              <w:t>Manage a forward-looking content calendar and oversee the creation of high-quality materials, including websites, brochures, case studies, films, blogs, social media posts, and thought leadership pieces</w:t>
            </w:r>
            <w:r w:rsidR="00084314">
              <w:t xml:space="preserve"> that align with our </w:t>
            </w:r>
            <w:r w:rsidR="00393D76">
              <w:t>overall market and research activities</w:t>
            </w:r>
            <w:r w:rsidRPr="0044418A">
              <w:t>.</w:t>
            </w:r>
          </w:p>
          <w:p w14:paraId="32A43E6E" w14:textId="038AA6DD" w:rsidR="004A7A79" w:rsidRPr="00CC5D9D" w:rsidRDefault="004A7A79" w:rsidP="00093C5F">
            <w:pPr>
              <w:pStyle w:val="Bullet1"/>
            </w:pPr>
            <w:r w:rsidRPr="0044418A">
              <w:t>Ensure consistency, clarity, and brand integrity across all marketing content and communication formats.</w:t>
            </w:r>
          </w:p>
          <w:p w14:paraId="5D807E57" w14:textId="77777777" w:rsidR="00C869AA" w:rsidRDefault="00C869AA" w:rsidP="00C869AA">
            <w:pPr>
              <w:pStyle w:val="NoSpacing"/>
              <w:ind w:left="720"/>
            </w:pPr>
          </w:p>
          <w:p w14:paraId="257BB057" w14:textId="77777777" w:rsidR="00C869AA" w:rsidRPr="00BD23FB" w:rsidRDefault="00C869AA" w:rsidP="00C869AA">
            <w:pPr>
              <w:pStyle w:val="NoSpacing"/>
              <w:rPr>
                <w:b/>
                <w:bCs/>
              </w:rPr>
            </w:pPr>
            <w:r w:rsidRPr="00BD23FB">
              <w:rPr>
                <w:b/>
                <w:bCs/>
              </w:rPr>
              <w:t xml:space="preserve">Product </w:t>
            </w:r>
            <w:r w:rsidRPr="00311CDB">
              <w:rPr>
                <w:b/>
                <w:bCs/>
              </w:rPr>
              <w:t>m</w:t>
            </w:r>
            <w:r w:rsidRPr="00BD23FB">
              <w:rPr>
                <w:b/>
                <w:bCs/>
              </w:rPr>
              <w:t>arketing</w:t>
            </w:r>
          </w:p>
          <w:p w14:paraId="1528C031" w14:textId="77777777" w:rsidR="00C869AA" w:rsidRPr="0044418A" w:rsidRDefault="00C869AA" w:rsidP="00093C5F">
            <w:pPr>
              <w:pStyle w:val="Bullet1"/>
            </w:pPr>
            <w:r w:rsidRPr="0044418A">
              <w:t>Provide oversight and guidance for product marketing activities across HR Wallingford’s software portfolio.</w:t>
            </w:r>
          </w:p>
          <w:p w14:paraId="0D261DD5" w14:textId="77777777" w:rsidR="0044418A" w:rsidRPr="0044418A" w:rsidRDefault="0044418A" w:rsidP="00093C5F">
            <w:pPr>
              <w:pStyle w:val="Bullet1"/>
            </w:pPr>
            <w:r w:rsidRPr="0044418A">
              <w:t xml:space="preserve">Ensure product marketing plans align with corporate brand and business objectives, and the assets delivered support the delivery of effective go-to-market strategies, product launches, and efficient lead generation activities. </w:t>
            </w:r>
          </w:p>
          <w:p w14:paraId="5E5B6D7B" w14:textId="77777777" w:rsidR="00C869AA" w:rsidRPr="00CC5D9D" w:rsidRDefault="00C869AA" w:rsidP="00C869AA">
            <w:pPr>
              <w:pStyle w:val="NoSpacing"/>
              <w:ind w:left="360"/>
            </w:pPr>
          </w:p>
          <w:p w14:paraId="7483E8B6" w14:textId="77777777" w:rsidR="00C869AA" w:rsidRPr="00BF18F2" w:rsidRDefault="00C869AA" w:rsidP="00C869AA">
            <w:pPr>
              <w:pStyle w:val="Bullet1"/>
              <w:numPr>
                <w:ilvl w:val="0"/>
                <w:numId w:val="0"/>
              </w:numPr>
              <w:ind w:left="340" w:hanging="340"/>
              <w:rPr>
                <w:b/>
                <w:bCs/>
              </w:rPr>
            </w:pPr>
            <w:r w:rsidRPr="00BF18F2">
              <w:rPr>
                <w:b/>
                <w:bCs/>
              </w:rPr>
              <w:t xml:space="preserve">Internal </w:t>
            </w:r>
            <w:r>
              <w:rPr>
                <w:b/>
                <w:bCs/>
              </w:rPr>
              <w:t>c</w:t>
            </w:r>
            <w:r w:rsidRPr="00BF18F2">
              <w:rPr>
                <w:b/>
                <w:bCs/>
              </w:rPr>
              <w:t>ommunication</w:t>
            </w:r>
          </w:p>
          <w:p w14:paraId="65CBD94D" w14:textId="444DA7EC" w:rsidR="00817E88" w:rsidRDefault="00817E88" w:rsidP="00817E88">
            <w:pPr>
              <w:pStyle w:val="Bullet1"/>
            </w:pPr>
            <w:r>
              <w:t>Advise the Chief Executives on internal communication strategies and activities that reinforce a positive organisational culture, align with company values, and support strategic priorities, including maintaining a high level of employee engagement.</w:t>
            </w:r>
          </w:p>
          <w:p w14:paraId="66A47DA2" w14:textId="48B7863D" w:rsidR="00817E88" w:rsidRPr="001D67E4" w:rsidRDefault="00817E88" w:rsidP="00817E88">
            <w:pPr>
              <w:pStyle w:val="Bullet1"/>
            </w:pPr>
            <w:r>
              <w:t>Oversee the development and delivery of an internal communications plan that promotes organisational culture, values, and strategic objectives.</w:t>
            </w:r>
          </w:p>
          <w:p w14:paraId="6A4242BC" w14:textId="43A5A0D6" w:rsidR="00C869AA" w:rsidRPr="001D67E4" w:rsidRDefault="00C869AA" w:rsidP="00817E88">
            <w:pPr>
              <w:pStyle w:val="Bullet1"/>
            </w:pPr>
            <w:r w:rsidRPr="001D67E4">
              <w:t>Ensure consistent</w:t>
            </w:r>
            <w:r w:rsidR="00817E88">
              <w:t xml:space="preserve">, </w:t>
            </w:r>
            <w:r w:rsidRPr="001D67E4">
              <w:t>timely</w:t>
            </w:r>
            <w:r w:rsidR="00817E88">
              <w:t xml:space="preserve"> and engaging</w:t>
            </w:r>
            <w:r w:rsidRPr="001D67E4">
              <w:t xml:space="preserve"> communication across all internal channels, including </w:t>
            </w:r>
            <w:r w:rsidR="00817E88">
              <w:t xml:space="preserve">the </w:t>
            </w:r>
            <w:r w:rsidRPr="001D67E4">
              <w:t>intranet</w:t>
            </w:r>
            <w:r>
              <w:t>, events and</w:t>
            </w:r>
            <w:r w:rsidRPr="001D67E4">
              <w:t xml:space="preserve"> leadership updates.</w:t>
            </w:r>
          </w:p>
          <w:p w14:paraId="0B07266E" w14:textId="77777777" w:rsidR="00C869AA" w:rsidRPr="001D67E4" w:rsidRDefault="00C869AA" w:rsidP="00093C5F">
            <w:pPr>
              <w:pStyle w:val="Bullet1"/>
            </w:pPr>
            <w:r w:rsidRPr="001D67E4">
              <w:t>Partner with senior leaders to support change communications.</w:t>
            </w:r>
          </w:p>
          <w:p w14:paraId="2C59EE4D" w14:textId="77777777" w:rsidR="00C869AA" w:rsidRPr="00CC5D9D" w:rsidRDefault="00C869AA" w:rsidP="0044418A">
            <w:pPr>
              <w:pStyle w:val="Bullet1"/>
              <w:numPr>
                <w:ilvl w:val="0"/>
                <w:numId w:val="0"/>
              </w:numPr>
              <w:ind w:left="340"/>
            </w:pPr>
          </w:p>
          <w:p w14:paraId="1117DD7D" w14:textId="77777777" w:rsidR="00C869AA" w:rsidRDefault="00C869AA" w:rsidP="00C869AA">
            <w:pPr>
              <w:pStyle w:val="NoSpacing"/>
              <w:rPr>
                <w:b/>
                <w:bCs/>
              </w:rPr>
            </w:pPr>
            <w:r>
              <w:rPr>
                <w:b/>
                <w:bCs/>
              </w:rPr>
              <w:t>Media relations</w:t>
            </w:r>
          </w:p>
          <w:p w14:paraId="0279D0E7" w14:textId="286F1C92" w:rsidR="00C869AA" w:rsidRPr="0044418A" w:rsidRDefault="00C869AA" w:rsidP="00093C5F">
            <w:pPr>
              <w:pStyle w:val="Bullet1"/>
            </w:pPr>
            <w:r w:rsidRPr="0044418A">
              <w:t xml:space="preserve">Oversee press office </w:t>
            </w:r>
            <w:r w:rsidR="00B35026" w:rsidRPr="0044418A">
              <w:t xml:space="preserve">capabilities </w:t>
            </w:r>
            <w:r w:rsidRPr="0044418A">
              <w:t>and the growth of positive relationships with journalists, broadcasters, industry influencers</w:t>
            </w:r>
            <w:r w:rsidR="00B35026" w:rsidRPr="0044418A">
              <w:t xml:space="preserve"> and press office contacts within client/partner organisations</w:t>
            </w:r>
            <w:r w:rsidRPr="0044418A">
              <w:t>.</w:t>
            </w:r>
          </w:p>
          <w:p w14:paraId="5B98ABE5" w14:textId="316F196B" w:rsidR="00C869AA" w:rsidRPr="0044418A" w:rsidRDefault="00C869AA" w:rsidP="00093C5F">
            <w:pPr>
              <w:pStyle w:val="Bullet1"/>
            </w:pPr>
            <w:r w:rsidRPr="0044418A">
              <w:t>Act as media contact for crisis communications when required.</w:t>
            </w:r>
          </w:p>
          <w:p w14:paraId="751B2F3B" w14:textId="6303584D" w:rsidR="00B35026" w:rsidRDefault="00F6737E" w:rsidP="00093C5F">
            <w:pPr>
              <w:pStyle w:val="Bullet1"/>
            </w:pPr>
            <w:r w:rsidRPr="0044418A">
              <w:t>Continue</w:t>
            </w:r>
            <w:r>
              <w:t xml:space="preserve"> to develop a network of </w:t>
            </w:r>
            <w:r w:rsidR="00C869AA">
              <w:t>expert spokespeople within the business.</w:t>
            </w:r>
          </w:p>
          <w:p w14:paraId="1F8B46D6" w14:textId="77777777" w:rsidR="00B35026" w:rsidRPr="00B35026" w:rsidRDefault="00B35026" w:rsidP="00B35026">
            <w:pPr>
              <w:pStyle w:val="Bullet1"/>
              <w:numPr>
                <w:ilvl w:val="0"/>
                <w:numId w:val="0"/>
              </w:numPr>
              <w:ind w:left="340"/>
            </w:pPr>
          </w:p>
          <w:p w14:paraId="65C53DB2" w14:textId="0BDFAFBD" w:rsidR="00C869AA" w:rsidRDefault="00B35026" w:rsidP="00C869AA">
            <w:pPr>
              <w:pStyle w:val="NoSpacing"/>
            </w:pPr>
            <w:r>
              <w:rPr>
                <w:b/>
                <w:bCs/>
              </w:rPr>
              <w:t>External</w:t>
            </w:r>
            <w:r w:rsidR="00C869AA">
              <w:rPr>
                <w:b/>
                <w:bCs/>
              </w:rPr>
              <w:t xml:space="preserve"> engagement</w:t>
            </w:r>
          </w:p>
          <w:p w14:paraId="412AF444" w14:textId="14B192D1" w:rsidR="002B7EDD" w:rsidRPr="0044418A" w:rsidRDefault="00B35026" w:rsidP="00093C5F">
            <w:pPr>
              <w:pStyle w:val="Bullet1"/>
            </w:pPr>
            <w:r w:rsidRPr="0044418A">
              <w:t>Oversee external</w:t>
            </w:r>
            <w:r w:rsidR="00C869AA" w:rsidRPr="0044418A">
              <w:t xml:space="preserve"> engagement </w:t>
            </w:r>
            <w:r w:rsidRPr="0044418A">
              <w:t>activities</w:t>
            </w:r>
            <w:r w:rsidR="00C869AA" w:rsidRPr="0044418A">
              <w:t xml:space="preserve"> that align with brand, purpose, and marketing objectives</w:t>
            </w:r>
            <w:r w:rsidRPr="0044418A">
              <w:t>, including STEM activities with schools and universities, visiting groups and community relations.</w:t>
            </w:r>
          </w:p>
        </w:tc>
      </w:tr>
    </w:tbl>
    <w:p w14:paraId="4A7DE04E" w14:textId="77777777" w:rsidR="00D810AC" w:rsidRDefault="00D810AC" w:rsidP="00D810AC">
      <w:pPr>
        <w:pStyle w:val="NoSpacing"/>
        <w:rPr>
          <w:u w:val="single"/>
        </w:rPr>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200" w:firstRow="0" w:lastRow="0" w:firstColumn="0" w:lastColumn="0" w:noHBand="1" w:noVBand="0"/>
      </w:tblPr>
      <w:tblGrid>
        <w:gridCol w:w="2684"/>
        <w:gridCol w:w="6934"/>
      </w:tblGrid>
      <w:tr w:rsidR="00D810AC" w:rsidRPr="00C04767" w14:paraId="061ACF60" w14:textId="77777777" w:rsidTr="0077515F">
        <w:trPr>
          <w:trHeight w:val="152"/>
        </w:trPr>
        <w:tc>
          <w:tcPr>
            <w:tcW w:w="2684" w:type="dxa"/>
            <w:shd w:val="clear" w:color="auto" w:fill="F2F2F2" w:themeFill="background1" w:themeFillShade="F2"/>
          </w:tcPr>
          <w:p w14:paraId="5A12FA82" w14:textId="77777777" w:rsidR="00D810AC" w:rsidRPr="00C04767" w:rsidRDefault="0077515F" w:rsidP="00332DFF">
            <w:pPr>
              <w:pStyle w:val="Heading2"/>
            </w:pPr>
            <w:r>
              <w:t>Group</w:t>
            </w:r>
          </w:p>
        </w:tc>
        <w:tc>
          <w:tcPr>
            <w:tcW w:w="6934" w:type="dxa"/>
            <w:shd w:val="clear" w:color="auto" w:fill="FFFFFF" w:themeFill="background1"/>
          </w:tcPr>
          <w:p w14:paraId="252135D4" w14:textId="011FA07F" w:rsidR="00D810AC" w:rsidRPr="00C04767" w:rsidRDefault="00344D14" w:rsidP="007927F8">
            <w:r>
              <w:t>Marketing &amp; Communications (MarComms)</w:t>
            </w:r>
          </w:p>
        </w:tc>
      </w:tr>
      <w:tr w:rsidR="00D810AC" w:rsidRPr="00C04767" w14:paraId="6382C644" w14:textId="77777777" w:rsidTr="0077515F">
        <w:tc>
          <w:tcPr>
            <w:tcW w:w="2684" w:type="dxa"/>
            <w:shd w:val="clear" w:color="auto" w:fill="F2F2F2" w:themeFill="background1" w:themeFillShade="F2"/>
          </w:tcPr>
          <w:p w14:paraId="4D9242AE" w14:textId="77777777" w:rsidR="00D810AC" w:rsidRPr="00C04767" w:rsidRDefault="0077515F" w:rsidP="00332DFF">
            <w:pPr>
              <w:pStyle w:val="Heading2"/>
            </w:pPr>
            <w:r>
              <w:t>Reports to</w:t>
            </w:r>
          </w:p>
        </w:tc>
        <w:tc>
          <w:tcPr>
            <w:tcW w:w="6934" w:type="dxa"/>
            <w:shd w:val="clear" w:color="auto" w:fill="FFFFFF" w:themeFill="background1"/>
          </w:tcPr>
          <w:p w14:paraId="7F14FEE0" w14:textId="4C5609CC" w:rsidR="00D810AC" w:rsidRPr="00C04767" w:rsidRDefault="00B63EEF" w:rsidP="007927F8">
            <w:r>
              <w:t>Director of Markets and Research</w:t>
            </w:r>
          </w:p>
        </w:tc>
      </w:tr>
      <w:tr w:rsidR="00D810AC" w:rsidRPr="00C04767" w14:paraId="2546B2A7" w14:textId="77777777" w:rsidTr="0077515F">
        <w:tc>
          <w:tcPr>
            <w:tcW w:w="2684" w:type="dxa"/>
            <w:shd w:val="clear" w:color="auto" w:fill="F2F2F2" w:themeFill="background1" w:themeFillShade="F2"/>
          </w:tcPr>
          <w:p w14:paraId="2AFD1850" w14:textId="77777777" w:rsidR="00D810AC" w:rsidRDefault="0077515F" w:rsidP="00332DFF">
            <w:pPr>
              <w:pStyle w:val="Heading2"/>
            </w:pPr>
            <w:r>
              <w:t>Responsible for</w:t>
            </w:r>
          </w:p>
        </w:tc>
        <w:tc>
          <w:tcPr>
            <w:tcW w:w="6934" w:type="dxa"/>
            <w:shd w:val="clear" w:color="auto" w:fill="FFFFFF" w:themeFill="background1"/>
          </w:tcPr>
          <w:p w14:paraId="4A9A8755" w14:textId="75666BEE" w:rsidR="00D810AC" w:rsidRDefault="00344D14" w:rsidP="007927F8">
            <w:r>
              <w:t>MarComms team</w:t>
            </w:r>
          </w:p>
        </w:tc>
      </w:tr>
      <w:tr w:rsidR="00D810AC" w:rsidRPr="00C04767" w14:paraId="12ECF206" w14:textId="77777777" w:rsidTr="0077515F">
        <w:tc>
          <w:tcPr>
            <w:tcW w:w="2684" w:type="dxa"/>
            <w:shd w:val="clear" w:color="auto" w:fill="F2F2F2" w:themeFill="background1" w:themeFillShade="F2"/>
          </w:tcPr>
          <w:p w14:paraId="2440844A" w14:textId="77777777" w:rsidR="00D810AC" w:rsidRDefault="00D810AC" w:rsidP="00332DFF">
            <w:pPr>
              <w:pStyle w:val="Heading2"/>
            </w:pPr>
            <w:r>
              <w:t>Date agreed</w:t>
            </w:r>
          </w:p>
        </w:tc>
        <w:tc>
          <w:tcPr>
            <w:tcW w:w="6934" w:type="dxa"/>
            <w:shd w:val="clear" w:color="auto" w:fill="FFFFFF" w:themeFill="background1"/>
          </w:tcPr>
          <w:p w14:paraId="5A1FD9A2" w14:textId="77777777" w:rsidR="00D810AC" w:rsidRDefault="00D810AC" w:rsidP="007927F8"/>
        </w:tc>
      </w:tr>
    </w:tbl>
    <w:p w14:paraId="270D7F50" w14:textId="77777777" w:rsidR="00D810AC" w:rsidRDefault="00D810AC" w:rsidP="0077515F"/>
    <w:sectPr w:rsidR="00D810AC" w:rsidSect="00CA6B33">
      <w:headerReference w:type="default" r:id="rId9"/>
      <w:footerReference w:type="default" r:id="rId10"/>
      <w:pgSz w:w="11906" w:h="16838" w:code="9"/>
      <w:pgMar w:top="141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EB4E" w14:textId="77777777" w:rsidR="007647DD" w:rsidRDefault="007647DD" w:rsidP="00700852">
      <w:pPr>
        <w:spacing w:line="240" w:lineRule="auto"/>
      </w:pPr>
      <w:r>
        <w:separator/>
      </w:r>
    </w:p>
  </w:endnote>
  <w:endnote w:type="continuationSeparator" w:id="0">
    <w:p w14:paraId="2C86704B" w14:textId="77777777" w:rsidR="007647DD" w:rsidRDefault="007647DD"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pilogue">
    <w:panose1 w:val="00000000000000000000"/>
    <w:charset w:val="00"/>
    <w:family w:val="auto"/>
    <w:pitch w:val="variable"/>
    <w:sig w:usb0="A000007F" w:usb1="40002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4E3DC1" w:rsidRPr="007853F7" w14:paraId="58C80D85" w14:textId="77777777" w:rsidTr="00E906E1">
      <w:tc>
        <w:tcPr>
          <w:tcW w:w="4927" w:type="dxa"/>
        </w:tcPr>
        <w:p w14:paraId="6B92A545" w14:textId="77777777" w:rsidR="004E3DC1" w:rsidRDefault="004E3DC1" w:rsidP="004E3DC1">
          <w:pPr>
            <w:pStyle w:val="NoSpacing"/>
            <w:rPr>
              <w:sz w:val="16"/>
              <w:szCs w:val="16"/>
            </w:rPr>
          </w:pPr>
          <w:r w:rsidRPr="004E3DC1">
            <w:rPr>
              <w:sz w:val="16"/>
              <w:szCs w:val="16"/>
            </w:rPr>
            <w:t>FM</w:t>
          </w:r>
          <w:r w:rsidR="00307F58">
            <w:rPr>
              <w:sz w:val="16"/>
              <w:szCs w:val="16"/>
            </w:rPr>
            <w:t>106</w:t>
          </w:r>
          <w:r w:rsidRPr="004E3DC1">
            <w:rPr>
              <w:sz w:val="16"/>
              <w:szCs w:val="16"/>
            </w:rPr>
            <w:t xml:space="preserve"> </w:t>
          </w:r>
          <w:r w:rsidR="00A61000">
            <w:rPr>
              <w:sz w:val="16"/>
              <w:szCs w:val="16"/>
            </w:rPr>
            <w:t>Job description</w:t>
          </w:r>
          <w:r w:rsidRPr="004E3DC1">
            <w:rPr>
              <w:sz w:val="16"/>
              <w:szCs w:val="16"/>
            </w:rPr>
            <w:t xml:space="preserve"> R</w:t>
          </w:r>
          <w:r w:rsidR="002B7EDD">
            <w:rPr>
              <w:sz w:val="16"/>
              <w:szCs w:val="16"/>
            </w:rPr>
            <w:t>2</w:t>
          </w:r>
          <w:r w:rsidRPr="004E3DC1">
            <w:rPr>
              <w:sz w:val="16"/>
              <w:szCs w:val="16"/>
            </w:rPr>
            <w:t>-0</w:t>
          </w:r>
        </w:p>
        <w:p w14:paraId="73DB3B4E" w14:textId="77777777" w:rsidR="004E3DC1" w:rsidRDefault="00CA6B33" w:rsidP="004E3DC1">
          <w:pPr>
            <w:pStyle w:val="NoSpacing"/>
            <w:rPr>
              <w:sz w:val="16"/>
              <w:szCs w:val="16"/>
            </w:rPr>
          </w:pPr>
          <w:r w:rsidRPr="00CA6B33">
            <w:rPr>
              <w:sz w:val="16"/>
              <w:szCs w:val="16"/>
            </w:rPr>
            <w:t>1</w:t>
          </w:r>
          <w:r w:rsidR="00A61000">
            <w:rPr>
              <w:sz w:val="16"/>
              <w:szCs w:val="16"/>
            </w:rPr>
            <w:t>6</w:t>
          </w:r>
          <w:r w:rsidR="004E3DC1" w:rsidRPr="00CA6B33">
            <w:rPr>
              <w:sz w:val="16"/>
              <w:szCs w:val="16"/>
            </w:rPr>
            <w:t xml:space="preserve"> </w:t>
          </w:r>
          <w:r w:rsidR="00A61000">
            <w:rPr>
              <w:sz w:val="16"/>
              <w:szCs w:val="16"/>
            </w:rPr>
            <w:t>May</w:t>
          </w:r>
          <w:r w:rsidR="004E3DC1" w:rsidRPr="00CA6B33">
            <w:rPr>
              <w:sz w:val="16"/>
              <w:szCs w:val="16"/>
            </w:rPr>
            <w:t xml:space="preserve"> 202</w:t>
          </w:r>
          <w:r w:rsidRPr="00CA6B33">
            <w:rPr>
              <w:sz w:val="16"/>
              <w:szCs w:val="16"/>
            </w:rPr>
            <w:t>3</w:t>
          </w:r>
        </w:p>
        <w:p w14:paraId="3C7F0743" w14:textId="77777777" w:rsidR="004E3DC1" w:rsidRPr="007853F7" w:rsidRDefault="004E3DC1" w:rsidP="004E3DC1">
          <w:pPr>
            <w:pStyle w:val="NoSpacing"/>
            <w:rPr>
              <w:sz w:val="16"/>
              <w:szCs w:val="16"/>
            </w:rPr>
          </w:pPr>
          <w:r>
            <w:rPr>
              <w:sz w:val="16"/>
              <w:szCs w:val="16"/>
            </w:rPr>
            <w:t>UNCONTROLLED WHEN PRINTED</w:t>
          </w:r>
        </w:p>
      </w:tc>
      <w:tc>
        <w:tcPr>
          <w:tcW w:w="4927" w:type="dxa"/>
          <w:vAlign w:val="bottom"/>
        </w:tcPr>
        <w:p w14:paraId="70466CC7" w14:textId="77777777" w:rsidR="004E3DC1" w:rsidRPr="007853F7" w:rsidRDefault="004E3DC1" w:rsidP="004E3DC1">
          <w:pPr>
            <w:pStyle w:val="NoSpacing"/>
            <w:jc w:val="right"/>
            <w:rPr>
              <w:sz w:val="16"/>
              <w:szCs w:val="16"/>
            </w:rPr>
          </w:pPr>
          <w:r w:rsidRPr="007853F7">
            <w:rPr>
              <w:sz w:val="16"/>
              <w:szCs w:val="16"/>
            </w:rPr>
            <w:t xml:space="preserve">Page </w:t>
          </w:r>
          <w:r w:rsidRPr="007853F7">
            <w:rPr>
              <w:sz w:val="16"/>
              <w:szCs w:val="16"/>
            </w:rPr>
            <w:fldChar w:fldCharType="begin"/>
          </w:r>
          <w:r w:rsidRPr="007853F7">
            <w:rPr>
              <w:sz w:val="16"/>
              <w:szCs w:val="16"/>
            </w:rPr>
            <w:instrText xml:space="preserve"> PAGE   \* MERGEFORMAT </w:instrText>
          </w:r>
          <w:r w:rsidRPr="007853F7">
            <w:rPr>
              <w:sz w:val="16"/>
              <w:szCs w:val="16"/>
            </w:rPr>
            <w:fldChar w:fldCharType="separate"/>
          </w:r>
          <w:r>
            <w:rPr>
              <w:sz w:val="16"/>
              <w:szCs w:val="16"/>
            </w:rPr>
            <w:t>1</w:t>
          </w:r>
          <w:r w:rsidRPr="007853F7">
            <w:rPr>
              <w:noProof/>
              <w:sz w:val="16"/>
              <w:szCs w:val="16"/>
            </w:rPr>
            <w:fldChar w:fldCharType="end"/>
          </w:r>
        </w:p>
      </w:tc>
    </w:tr>
  </w:tbl>
  <w:p w14:paraId="0DBB91A5" w14:textId="77777777" w:rsidR="007025E4" w:rsidRPr="004E3DC1" w:rsidRDefault="007025E4" w:rsidP="004E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268D" w14:textId="77777777" w:rsidR="007647DD" w:rsidRDefault="007647DD" w:rsidP="00700852">
      <w:pPr>
        <w:spacing w:line="240" w:lineRule="auto"/>
      </w:pPr>
      <w:r>
        <w:separator/>
      </w:r>
    </w:p>
  </w:footnote>
  <w:footnote w:type="continuationSeparator" w:id="0">
    <w:p w14:paraId="12AF8F5E" w14:textId="77777777" w:rsidR="007647DD" w:rsidRDefault="007647DD"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654"/>
    </w:tblGrid>
    <w:tr w:rsidR="004E3DC1" w14:paraId="3459AE8A" w14:textId="77777777" w:rsidTr="00A61000">
      <w:tc>
        <w:tcPr>
          <w:tcW w:w="1985" w:type="dxa"/>
          <w:vAlign w:val="bottom"/>
        </w:tcPr>
        <w:p w14:paraId="1D39D819" w14:textId="77777777" w:rsidR="004E3DC1" w:rsidRDefault="004E3DC1" w:rsidP="004E3DC1">
          <w:r>
            <w:rPr>
              <w:noProof/>
            </w:rPr>
            <w:drawing>
              <wp:inline distT="0" distB="0" distL="0" distR="0" wp14:anchorId="414AEE11" wp14:editId="729BCD7A">
                <wp:extent cx="999731" cy="540000"/>
                <wp:effectExtent l="0" t="0" r="0" b="0"/>
                <wp:docPr id="4" name="Picture 4" descr="A picture containing text, outdoor,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1" cy="540000"/>
                        </a:xfrm>
                        <a:prstGeom prst="rect">
                          <a:avLst/>
                        </a:prstGeom>
                        <a:noFill/>
                        <a:ln>
                          <a:noFill/>
                        </a:ln>
                      </pic:spPr>
                    </pic:pic>
                  </a:graphicData>
                </a:graphic>
              </wp:inline>
            </w:drawing>
          </w:r>
        </w:p>
      </w:tc>
      <w:sdt>
        <w:sdtPr>
          <w:id w:val="-2077048949"/>
          <w:placeholder>
            <w:docPart w:val="2685F64FFE8F4677B3457D122CDC5297"/>
          </w:placeholder>
        </w:sdtPr>
        <w:sdtEndPr/>
        <w:sdtContent>
          <w:tc>
            <w:tcPr>
              <w:tcW w:w="7654" w:type="dxa"/>
              <w:vAlign w:val="center"/>
            </w:tcPr>
            <w:p w14:paraId="4F240827" w14:textId="77777777" w:rsidR="004E3DC1" w:rsidRPr="00905063" w:rsidRDefault="003B18E8" w:rsidP="004E3DC1">
              <w:pPr>
                <w:jc w:val="right"/>
              </w:pPr>
              <w:r w:rsidRPr="003B18E8">
                <w:rPr>
                  <w:sz w:val="44"/>
                  <w:szCs w:val="44"/>
                </w:rPr>
                <w:t>Job description</w:t>
              </w:r>
            </w:p>
          </w:tc>
        </w:sdtContent>
      </w:sdt>
    </w:tr>
  </w:tbl>
  <w:p w14:paraId="6F89ACF6" w14:textId="77777777" w:rsidR="007025E4" w:rsidRPr="004E3DC1" w:rsidRDefault="007025E4" w:rsidP="004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8237D"/>
    <w:multiLevelType w:val="multilevel"/>
    <w:tmpl w:val="9F065B2C"/>
    <w:lvl w:ilvl="0">
      <w:start w:val="1"/>
      <w:numFmt w:val="bullet"/>
      <w:lvlText w:val=""/>
      <w:lvlJc w:val="left"/>
      <w:pPr>
        <w:tabs>
          <w:tab w:val="num" w:pos="340"/>
        </w:tabs>
        <w:ind w:left="340" w:hanging="340"/>
      </w:pPr>
      <w:rPr>
        <w:rFonts w:ascii="Symbol" w:hAnsi="Symbol" w:hint="default"/>
        <w:color w:val="FC5602" w:themeColor="accent1"/>
      </w:rPr>
    </w:lvl>
    <w:lvl w:ilvl="1">
      <w:start w:val="1"/>
      <w:numFmt w:val="bullet"/>
      <w:lvlText w:val=""/>
      <w:lvlJc w:val="left"/>
      <w:pPr>
        <w:tabs>
          <w:tab w:val="num" w:pos="680"/>
        </w:tabs>
        <w:ind w:left="680" w:hanging="340"/>
      </w:pPr>
      <w:rPr>
        <w:rFonts w:ascii="Wingdings 2" w:hAnsi="Wingdings 2" w:hint="default"/>
        <w:color w:val="FC5602" w:themeColor="accent1"/>
      </w:rPr>
    </w:lvl>
    <w:lvl w:ilvl="2">
      <w:start w:val="1"/>
      <w:numFmt w:val="bullet"/>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1"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Wingdings 2" w:hAnsi="Wingdings 2" w:hint="default"/>
        <w:color w:val="FC5602" w:themeColor="accent1"/>
      </w:rPr>
    </w:lvl>
    <w:lvl w:ilvl="2">
      <w:start w:val="1"/>
      <w:numFmt w:val="bullet"/>
      <w:pStyle w:val="Bullet3"/>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num w:numId="1" w16cid:durableId="351228077">
    <w:abstractNumId w:val="1"/>
  </w:num>
  <w:num w:numId="2" w16cid:durableId="4243013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4"/>
    <w:rsid w:val="00003F8B"/>
    <w:rsid w:val="000100F2"/>
    <w:rsid w:val="000307C0"/>
    <w:rsid w:val="00031FE1"/>
    <w:rsid w:val="000423F2"/>
    <w:rsid w:val="00043055"/>
    <w:rsid w:val="00065A39"/>
    <w:rsid w:val="00084314"/>
    <w:rsid w:val="0009036E"/>
    <w:rsid w:val="00093C5F"/>
    <w:rsid w:val="000A2BD7"/>
    <w:rsid w:val="000C7330"/>
    <w:rsid w:val="000D441F"/>
    <w:rsid w:val="000E1535"/>
    <w:rsid w:val="000E6E3C"/>
    <w:rsid w:val="000E77A8"/>
    <w:rsid w:val="00146E18"/>
    <w:rsid w:val="00147AF1"/>
    <w:rsid w:val="00151874"/>
    <w:rsid w:val="001557CC"/>
    <w:rsid w:val="00157DEB"/>
    <w:rsid w:val="00160787"/>
    <w:rsid w:val="00160D5D"/>
    <w:rsid w:val="00162C40"/>
    <w:rsid w:val="00167FA6"/>
    <w:rsid w:val="00167FDF"/>
    <w:rsid w:val="00174CB0"/>
    <w:rsid w:val="00174F83"/>
    <w:rsid w:val="001827FF"/>
    <w:rsid w:val="001A0D37"/>
    <w:rsid w:val="001D67E4"/>
    <w:rsid w:val="001E2CB0"/>
    <w:rsid w:val="001F3A98"/>
    <w:rsid w:val="002337A7"/>
    <w:rsid w:val="00257147"/>
    <w:rsid w:val="00272DC7"/>
    <w:rsid w:val="00291E20"/>
    <w:rsid w:val="00293552"/>
    <w:rsid w:val="002A1C9A"/>
    <w:rsid w:val="002B7EDD"/>
    <w:rsid w:val="002E27D8"/>
    <w:rsid w:val="002E45B7"/>
    <w:rsid w:val="002E7D6B"/>
    <w:rsid w:val="00307F58"/>
    <w:rsid w:val="00311CDB"/>
    <w:rsid w:val="0031301F"/>
    <w:rsid w:val="00325CDC"/>
    <w:rsid w:val="00332F98"/>
    <w:rsid w:val="00336CC6"/>
    <w:rsid w:val="00341B93"/>
    <w:rsid w:val="00344D14"/>
    <w:rsid w:val="00350EBF"/>
    <w:rsid w:val="003516E4"/>
    <w:rsid w:val="00357132"/>
    <w:rsid w:val="0036501D"/>
    <w:rsid w:val="00393D76"/>
    <w:rsid w:val="003B18E8"/>
    <w:rsid w:val="003C1DDD"/>
    <w:rsid w:val="003E341B"/>
    <w:rsid w:val="003F475A"/>
    <w:rsid w:val="00402280"/>
    <w:rsid w:val="00405BB9"/>
    <w:rsid w:val="00406D5F"/>
    <w:rsid w:val="00410738"/>
    <w:rsid w:val="0041173C"/>
    <w:rsid w:val="004303FB"/>
    <w:rsid w:val="0044418A"/>
    <w:rsid w:val="0046075C"/>
    <w:rsid w:val="00467D47"/>
    <w:rsid w:val="00477D4C"/>
    <w:rsid w:val="00486158"/>
    <w:rsid w:val="00495A1E"/>
    <w:rsid w:val="004A7A79"/>
    <w:rsid w:val="004B0BBE"/>
    <w:rsid w:val="004B64AB"/>
    <w:rsid w:val="004E3DC1"/>
    <w:rsid w:val="00500C49"/>
    <w:rsid w:val="005142A9"/>
    <w:rsid w:val="00566AE8"/>
    <w:rsid w:val="00570969"/>
    <w:rsid w:val="00573E3C"/>
    <w:rsid w:val="00581AB1"/>
    <w:rsid w:val="00590058"/>
    <w:rsid w:val="005912F4"/>
    <w:rsid w:val="005A7F10"/>
    <w:rsid w:val="006111B6"/>
    <w:rsid w:val="006139BF"/>
    <w:rsid w:val="00622870"/>
    <w:rsid w:val="0063405F"/>
    <w:rsid w:val="00657620"/>
    <w:rsid w:val="00663E60"/>
    <w:rsid w:val="00677483"/>
    <w:rsid w:val="00695743"/>
    <w:rsid w:val="006964CF"/>
    <w:rsid w:val="006C2896"/>
    <w:rsid w:val="006C4807"/>
    <w:rsid w:val="006C62CF"/>
    <w:rsid w:val="006E3966"/>
    <w:rsid w:val="006F34DB"/>
    <w:rsid w:val="006F4505"/>
    <w:rsid w:val="00700852"/>
    <w:rsid w:val="007025E4"/>
    <w:rsid w:val="00737A4D"/>
    <w:rsid w:val="00743298"/>
    <w:rsid w:val="007510F2"/>
    <w:rsid w:val="00756B8E"/>
    <w:rsid w:val="007647DD"/>
    <w:rsid w:val="007655E0"/>
    <w:rsid w:val="00765955"/>
    <w:rsid w:val="0077515F"/>
    <w:rsid w:val="00781B46"/>
    <w:rsid w:val="007853F7"/>
    <w:rsid w:val="007854E1"/>
    <w:rsid w:val="007927F8"/>
    <w:rsid w:val="00795BAE"/>
    <w:rsid w:val="007A466C"/>
    <w:rsid w:val="007C3DF5"/>
    <w:rsid w:val="007C4F19"/>
    <w:rsid w:val="007D70A7"/>
    <w:rsid w:val="008005F3"/>
    <w:rsid w:val="00800A50"/>
    <w:rsid w:val="00817E88"/>
    <w:rsid w:val="00823589"/>
    <w:rsid w:val="008237D2"/>
    <w:rsid w:val="00857290"/>
    <w:rsid w:val="00857458"/>
    <w:rsid w:val="0086317E"/>
    <w:rsid w:val="0086617D"/>
    <w:rsid w:val="0088240E"/>
    <w:rsid w:val="00884A2E"/>
    <w:rsid w:val="008B2E14"/>
    <w:rsid w:val="008B36EA"/>
    <w:rsid w:val="008D4E88"/>
    <w:rsid w:val="008E6DFC"/>
    <w:rsid w:val="008F43EE"/>
    <w:rsid w:val="00905063"/>
    <w:rsid w:val="00905B88"/>
    <w:rsid w:val="0093235A"/>
    <w:rsid w:val="009431DF"/>
    <w:rsid w:val="009635F3"/>
    <w:rsid w:val="00982F82"/>
    <w:rsid w:val="009A07EE"/>
    <w:rsid w:val="009C04CF"/>
    <w:rsid w:val="009D44C5"/>
    <w:rsid w:val="009E0F77"/>
    <w:rsid w:val="009E7381"/>
    <w:rsid w:val="00A04748"/>
    <w:rsid w:val="00A079EE"/>
    <w:rsid w:val="00A24B3A"/>
    <w:rsid w:val="00A337E1"/>
    <w:rsid w:val="00A33BCD"/>
    <w:rsid w:val="00A36B11"/>
    <w:rsid w:val="00A37870"/>
    <w:rsid w:val="00A40644"/>
    <w:rsid w:val="00A44079"/>
    <w:rsid w:val="00A61000"/>
    <w:rsid w:val="00A7625C"/>
    <w:rsid w:val="00A8520A"/>
    <w:rsid w:val="00AA72F4"/>
    <w:rsid w:val="00AC0AB9"/>
    <w:rsid w:val="00AE22D1"/>
    <w:rsid w:val="00B26A9E"/>
    <w:rsid w:val="00B32263"/>
    <w:rsid w:val="00B35026"/>
    <w:rsid w:val="00B372F3"/>
    <w:rsid w:val="00B57EC8"/>
    <w:rsid w:val="00B636B4"/>
    <w:rsid w:val="00B63EEF"/>
    <w:rsid w:val="00B72B31"/>
    <w:rsid w:val="00BB4B48"/>
    <w:rsid w:val="00BC3E3B"/>
    <w:rsid w:val="00BC5625"/>
    <w:rsid w:val="00BD23FB"/>
    <w:rsid w:val="00BE2FB6"/>
    <w:rsid w:val="00BE6F98"/>
    <w:rsid w:val="00BF0928"/>
    <w:rsid w:val="00BF18F2"/>
    <w:rsid w:val="00BF47AE"/>
    <w:rsid w:val="00C0439E"/>
    <w:rsid w:val="00C04767"/>
    <w:rsid w:val="00C16285"/>
    <w:rsid w:val="00C869AA"/>
    <w:rsid w:val="00C91BFA"/>
    <w:rsid w:val="00CA0CEF"/>
    <w:rsid w:val="00CA369B"/>
    <w:rsid w:val="00CA6B33"/>
    <w:rsid w:val="00CC5D9D"/>
    <w:rsid w:val="00CF46EC"/>
    <w:rsid w:val="00CF7905"/>
    <w:rsid w:val="00D0369E"/>
    <w:rsid w:val="00D03998"/>
    <w:rsid w:val="00D25CF8"/>
    <w:rsid w:val="00D2663E"/>
    <w:rsid w:val="00D30733"/>
    <w:rsid w:val="00D30C0A"/>
    <w:rsid w:val="00D604F5"/>
    <w:rsid w:val="00D63301"/>
    <w:rsid w:val="00D6736F"/>
    <w:rsid w:val="00D8057D"/>
    <w:rsid w:val="00D810AC"/>
    <w:rsid w:val="00D8757B"/>
    <w:rsid w:val="00DB3389"/>
    <w:rsid w:val="00DE0BF6"/>
    <w:rsid w:val="00DF2A7D"/>
    <w:rsid w:val="00DF32A1"/>
    <w:rsid w:val="00DF7B14"/>
    <w:rsid w:val="00E55DB1"/>
    <w:rsid w:val="00E62F42"/>
    <w:rsid w:val="00E90733"/>
    <w:rsid w:val="00E9391E"/>
    <w:rsid w:val="00E975D2"/>
    <w:rsid w:val="00EC61E5"/>
    <w:rsid w:val="00EE54D5"/>
    <w:rsid w:val="00EE6684"/>
    <w:rsid w:val="00EE6EDD"/>
    <w:rsid w:val="00F27581"/>
    <w:rsid w:val="00F351E7"/>
    <w:rsid w:val="00F47575"/>
    <w:rsid w:val="00F514FE"/>
    <w:rsid w:val="00F6064B"/>
    <w:rsid w:val="00F6737E"/>
    <w:rsid w:val="00F7411C"/>
    <w:rsid w:val="00F85D01"/>
    <w:rsid w:val="00FB0218"/>
    <w:rsid w:val="00FE1DDB"/>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3013B"/>
  <w15:docId w15:val="{58696FE9-F16C-4411-A3D6-767CBC0E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1"/>
    <w:rPr>
      <w:rFonts w:ascii="Epilogue" w:hAnsi="Epilogue"/>
      <w:color w:val="0C0C0C" w:themeColor="text1"/>
      <w:sz w:val="20"/>
    </w:rPr>
  </w:style>
  <w:style w:type="paragraph" w:styleId="Heading1">
    <w:name w:val="heading 1"/>
    <w:aliases w:val="Form section"/>
    <w:basedOn w:val="Normal"/>
    <w:next w:val="Normal"/>
    <w:link w:val="Heading1Char"/>
    <w:uiPriority w:val="9"/>
    <w:qFormat/>
    <w:rsid w:val="004E3DC1"/>
    <w:pPr>
      <w:spacing w:before="120" w:after="120"/>
      <w:contextualSpacing/>
      <w:outlineLvl w:val="0"/>
    </w:pPr>
    <w:rPr>
      <w:rFonts w:eastAsiaTheme="majorEastAsia" w:cstheme="majorBidi"/>
      <w:bCs/>
      <w:sz w:val="28"/>
      <w:szCs w:val="28"/>
    </w:rPr>
  </w:style>
  <w:style w:type="paragraph" w:styleId="Heading2">
    <w:name w:val="heading 2"/>
    <w:aliases w:val="Form field title"/>
    <w:basedOn w:val="Normal"/>
    <w:next w:val="Normal"/>
    <w:link w:val="Heading2Char"/>
    <w:uiPriority w:val="9"/>
    <w:unhideWhenUsed/>
    <w:rsid w:val="004E3DC1"/>
    <w:pPr>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858585"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858585"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BC3F01" w:themeColor="accent1" w:themeShade="BF"/>
      <w:sz w:val="16"/>
      <w:szCs w:val="16"/>
    </w:rPr>
  </w:style>
  <w:style w:type="paragraph" w:styleId="NoSpacing">
    <w:name w:val="No Spacing"/>
    <w:basedOn w:val="Normal"/>
    <w:link w:val="NoSpacingChar"/>
    <w:uiPriority w:val="1"/>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E5DCFD" w:themeFill="accent6" w:themeFillTint="33"/>
    </w:tcPr>
    <w:tblStylePr w:type="firstRow">
      <w:rPr>
        <w:b/>
        <w:bCs/>
      </w:rPr>
      <w:tblPr/>
      <w:tcPr>
        <w:shd w:val="clear" w:color="auto" w:fill="CBB9FB" w:themeFill="accent6" w:themeFillTint="66"/>
      </w:tcPr>
    </w:tblStylePr>
    <w:tblStylePr w:type="lastRow">
      <w:rPr>
        <w:b/>
        <w:bCs/>
        <w:color w:val="0C0C0C" w:themeColor="text1"/>
      </w:rPr>
      <w:tblPr/>
      <w:tcPr>
        <w:shd w:val="clear" w:color="auto" w:fill="CBB9FB" w:themeFill="accent6" w:themeFillTint="66"/>
      </w:tcPr>
    </w:tblStylePr>
    <w:tblStylePr w:type="firstCol">
      <w:rPr>
        <w:color w:val="FFFFFF" w:themeColor="background1"/>
      </w:rPr>
      <w:tblPr/>
      <w:tcPr>
        <w:shd w:val="clear" w:color="auto" w:fill="490CE9" w:themeFill="accent6" w:themeFillShade="BF"/>
      </w:tcPr>
    </w:tblStylePr>
    <w:tblStylePr w:type="lastCol">
      <w:rPr>
        <w:color w:val="FFFFFF" w:themeColor="background1"/>
      </w:rPr>
      <w:tblPr/>
      <w:tcPr>
        <w:shd w:val="clear" w:color="auto" w:fill="490CE9" w:themeFill="accent6" w:themeFillShade="BF"/>
      </w:tcPr>
    </w:tblStylePr>
    <w:tblStylePr w:type="band1Vert">
      <w:tblPr/>
      <w:tcPr>
        <w:shd w:val="clear" w:color="auto" w:fill="BFA8FA" w:themeFill="accent6" w:themeFillTint="7F"/>
      </w:tcPr>
    </w:tblStylePr>
    <w:tblStylePr w:type="band1Horz">
      <w:tblPr/>
      <w:tcPr>
        <w:shd w:val="clear" w:color="auto" w:fill="BFA8FA" w:themeFill="accent6" w:themeFillTint="7F"/>
      </w:tcPr>
    </w:tblStylePr>
  </w:style>
  <w:style w:type="paragraph" w:customStyle="1" w:styleId="Bullet1">
    <w:name w:val="Bullet 1"/>
    <w:basedOn w:val="Normal"/>
    <w:uiPriority w:val="5"/>
    <w:qFormat/>
    <w:rsid w:val="00500C49"/>
    <w:pPr>
      <w:numPr>
        <w:numId w:val="1"/>
      </w:numPr>
      <w:spacing w:before="60" w:after="60"/>
    </w:pPr>
    <w:rPr>
      <w:rFonts w:eastAsia="Calibri" w:cs="Arial"/>
    </w:rPr>
  </w:style>
  <w:style w:type="paragraph" w:customStyle="1" w:styleId="Bullet2">
    <w:name w:val="Bullet 2"/>
    <w:basedOn w:val="Bullet1"/>
    <w:uiPriority w:val="6"/>
    <w:qFormat/>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rsid w:val="004E3DC1"/>
    <w:pPr>
      <w:pBdr>
        <w:bottom w:val="single" w:sz="4" w:space="1" w:color="auto"/>
      </w:pBdr>
      <w:spacing w:line="240" w:lineRule="auto"/>
      <w:contextualSpacing/>
    </w:pPr>
    <w:rPr>
      <w:rFonts w:eastAsiaTheme="majorEastAsia" w:cstheme="majorBidi"/>
      <w:spacing w:val="5"/>
      <w:sz w:val="44"/>
      <w:szCs w:val="52"/>
    </w:rPr>
  </w:style>
  <w:style w:type="character" w:customStyle="1" w:styleId="TitleChar">
    <w:name w:val="Title Char"/>
    <w:aliases w:val="Form title Char"/>
    <w:basedOn w:val="DefaultParagraphFont"/>
    <w:link w:val="Title"/>
    <w:uiPriority w:val="10"/>
    <w:rsid w:val="004E3DC1"/>
    <w:rPr>
      <w:rFonts w:ascii="Epilogue" w:eastAsiaTheme="majorEastAsia" w:hAnsi="Epilogue" w:cstheme="majorBidi"/>
      <w:color w:val="0C0C0C" w:themeColor="text1"/>
      <w:spacing w:val="5"/>
      <w:sz w:val="44"/>
      <w:szCs w:val="52"/>
    </w:rPr>
  </w:style>
  <w:style w:type="character" w:customStyle="1" w:styleId="Heading1Char">
    <w:name w:val="Heading 1 Char"/>
    <w:aliases w:val="Form section Char"/>
    <w:basedOn w:val="DefaultParagraphFont"/>
    <w:link w:val="Heading1"/>
    <w:uiPriority w:val="9"/>
    <w:rsid w:val="004E3DC1"/>
    <w:rPr>
      <w:rFonts w:ascii="Epilogue" w:eastAsiaTheme="majorEastAsia" w:hAnsi="Epilogue" w:cstheme="majorBidi"/>
      <w:bCs/>
      <w:color w:val="0C0C0C" w:themeColor="text1"/>
      <w:sz w:val="28"/>
      <w:szCs w:val="28"/>
    </w:rPr>
  </w:style>
  <w:style w:type="character" w:customStyle="1" w:styleId="Heading2Char">
    <w:name w:val="Heading 2 Char"/>
    <w:aliases w:val="Form field title Char"/>
    <w:basedOn w:val="DefaultParagraphFont"/>
    <w:link w:val="Heading2"/>
    <w:uiPriority w:val="9"/>
    <w:rsid w:val="004E3DC1"/>
    <w:rPr>
      <w:rFonts w:ascii="Epilogue" w:eastAsiaTheme="majorEastAsia" w:hAnsi="Epilogue" w:cstheme="majorBidi"/>
      <w:b/>
      <w:bCs/>
      <w:color w:val="0C0C0C"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0C0C0C"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0C0C0C"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858585"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858585"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FC5602"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0C0C0C"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qFormat/>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0C0C0C" w:themeColor="text1"/>
      <w:sz w:val="14"/>
      <w:szCs w:val="16"/>
    </w:rPr>
  </w:style>
  <w:style w:type="paragraph" w:styleId="NormalWeb">
    <w:name w:val="Normal (Web)"/>
    <w:basedOn w:val="Normal"/>
    <w:uiPriority w:val="99"/>
    <w:semiHidden/>
    <w:unhideWhenUsed/>
    <w:rsid w:val="00BD23FB"/>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character" w:styleId="CommentReference">
    <w:name w:val="annotation reference"/>
    <w:basedOn w:val="DefaultParagraphFont"/>
    <w:uiPriority w:val="99"/>
    <w:semiHidden/>
    <w:unhideWhenUsed/>
    <w:rsid w:val="00EE6684"/>
    <w:rPr>
      <w:sz w:val="16"/>
      <w:szCs w:val="16"/>
    </w:rPr>
  </w:style>
  <w:style w:type="paragraph" w:styleId="CommentText">
    <w:name w:val="annotation text"/>
    <w:basedOn w:val="Normal"/>
    <w:link w:val="CommentTextChar"/>
    <w:uiPriority w:val="99"/>
    <w:unhideWhenUsed/>
    <w:rsid w:val="00EE6684"/>
    <w:pPr>
      <w:spacing w:line="240" w:lineRule="auto"/>
    </w:pPr>
    <w:rPr>
      <w:szCs w:val="20"/>
    </w:rPr>
  </w:style>
  <w:style w:type="character" w:customStyle="1" w:styleId="CommentTextChar">
    <w:name w:val="Comment Text Char"/>
    <w:basedOn w:val="DefaultParagraphFont"/>
    <w:link w:val="CommentText"/>
    <w:uiPriority w:val="99"/>
    <w:rsid w:val="00EE6684"/>
    <w:rPr>
      <w:rFonts w:ascii="Epilogue" w:hAnsi="Epilogue"/>
      <w:color w:val="0C0C0C" w:themeColor="text1"/>
      <w:sz w:val="20"/>
      <w:szCs w:val="20"/>
    </w:rPr>
  </w:style>
  <w:style w:type="paragraph" w:styleId="CommentSubject">
    <w:name w:val="annotation subject"/>
    <w:basedOn w:val="CommentText"/>
    <w:next w:val="CommentText"/>
    <w:link w:val="CommentSubjectChar"/>
    <w:uiPriority w:val="99"/>
    <w:semiHidden/>
    <w:unhideWhenUsed/>
    <w:rsid w:val="00EE6684"/>
    <w:rPr>
      <w:b/>
      <w:bCs/>
    </w:rPr>
  </w:style>
  <w:style w:type="character" w:customStyle="1" w:styleId="CommentSubjectChar">
    <w:name w:val="Comment Subject Char"/>
    <w:basedOn w:val="CommentTextChar"/>
    <w:link w:val="CommentSubject"/>
    <w:uiPriority w:val="99"/>
    <w:semiHidden/>
    <w:rsid w:val="00EE6684"/>
    <w:rPr>
      <w:rFonts w:ascii="Epilogue" w:hAnsi="Epilogue"/>
      <w:b/>
      <w:bCs/>
      <w:color w:val="0C0C0C" w:themeColor="text1"/>
      <w:sz w:val="20"/>
      <w:szCs w:val="20"/>
    </w:rPr>
  </w:style>
  <w:style w:type="paragraph" w:styleId="Revision">
    <w:name w:val="Revision"/>
    <w:hidden/>
    <w:uiPriority w:val="99"/>
    <w:semiHidden/>
    <w:rsid w:val="00167FDF"/>
    <w:pPr>
      <w:spacing w:after="0" w:line="240" w:lineRule="auto"/>
    </w:pPr>
    <w:rPr>
      <w:rFonts w:ascii="Epilogue" w:hAnsi="Epilogue"/>
      <w:color w:val="0C0C0C"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85F64FFE8F4677B3457D122CDC5297"/>
        <w:category>
          <w:name w:val="General"/>
          <w:gallery w:val="placeholder"/>
        </w:category>
        <w:types>
          <w:type w:val="bbPlcHdr"/>
        </w:types>
        <w:behaviors>
          <w:behavior w:val="content"/>
        </w:behaviors>
        <w:guid w:val="{9E34A7BE-351E-4376-8EDA-51C8462F1DEC}"/>
      </w:docPartPr>
      <w:docPartBody>
        <w:p w:rsidR="00497CD0" w:rsidRDefault="003117A7">
          <w:pPr>
            <w:pStyle w:val="2685F64FFE8F4677B3457D122CDC5297"/>
          </w:pPr>
          <w:r w:rsidRPr="00CC2E84">
            <w:rPr>
              <w:rStyle w:val="PlaceholderText"/>
            </w:rPr>
            <w:t>Click or tap here to enter text.</w:t>
          </w:r>
        </w:p>
      </w:docPartBody>
    </w:docPart>
    <w:docPart>
      <w:docPartPr>
        <w:name w:val="683AF7EF05E84BCDBEB635F1248896E6"/>
        <w:category>
          <w:name w:val="General"/>
          <w:gallery w:val="placeholder"/>
        </w:category>
        <w:types>
          <w:type w:val="bbPlcHdr"/>
        </w:types>
        <w:behaviors>
          <w:behavior w:val="content"/>
        </w:behaviors>
        <w:guid w:val="{35710294-3317-4B85-B3B3-D62B6FECA740}"/>
      </w:docPartPr>
      <w:docPartBody>
        <w:p w:rsidR="00497CD0" w:rsidRDefault="003117A7">
          <w:pPr>
            <w:pStyle w:val="683AF7EF05E84BCDBEB635F1248896E6"/>
          </w:pPr>
          <w:r w:rsidRPr="00CC2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pilogue">
    <w:panose1 w:val="00000000000000000000"/>
    <w:charset w:val="00"/>
    <w:family w:val="auto"/>
    <w:pitch w:val="variable"/>
    <w:sig w:usb0="A000007F" w:usb1="40002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5A"/>
    <w:rsid w:val="00003F8B"/>
    <w:rsid w:val="000100F2"/>
    <w:rsid w:val="000307C0"/>
    <w:rsid w:val="00086AAA"/>
    <w:rsid w:val="00160787"/>
    <w:rsid w:val="003117A7"/>
    <w:rsid w:val="00367B5A"/>
    <w:rsid w:val="004446EC"/>
    <w:rsid w:val="00495F7D"/>
    <w:rsid w:val="00497CD0"/>
    <w:rsid w:val="005912F4"/>
    <w:rsid w:val="006A2671"/>
    <w:rsid w:val="006D1F96"/>
    <w:rsid w:val="007325DF"/>
    <w:rsid w:val="00743298"/>
    <w:rsid w:val="007655E0"/>
    <w:rsid w:val="007C286D"/>
    <w:rsid w:val="007D70A7"/>
    <w:rsid w:val="008005F3"/>
    <w:rsid w:val="00800A50"/>
    <w:rsid w:val="00805E69"/>
    <w:rsid w:val="009063A1"/>
    <w:rsid w:val="00A40644"/>
    <w:rsid w:val="00AE22D1"/>
    <w:rsid w:val="00B74AB7"/>
    <w:rsid w:val="00BF0928"/>
    <w:rsid w:val="00C31801"/>
    <w:rsid w:val="00D00194"/>
    <w:rsid w:val="00D0369E"/>
    <w:rsid w:val="00D03998"/>
    <w:rsid w:val="00D8757B"/>
    <w:rsid w:val="00DF32A1"/>
    <w:rsid w:val="00E949A7"/>
    <w:rsid w:val="00EF02BE"/>
    <w:rsid w:val="00F6064B"/>
    <w:rsid w:val="00F75D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85F64FFE8F4677B3457D122CDC5297">
    <w:name w:val="2685F64FFE8F4677B3457D122CDC5297"/>
  </w:style>
  <w:style w:type="paragraph" w:customStyle="1" w:styleId="683AF7EF05E84BCDBEB635F1248896E6">
    <w:name w:val="683AF7EF05E84BCDBEB635F124889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rebrand">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HR Wallingford Epilogue theme fonts">
      <a:majorFont>
        <a:latin typeface="Epilogue SemiBold"/>
        <a:ea typeface=""/>
        <a:cs typeface=""/>
      </a:majorFont>
      <a:minorFont>
        <a:latin typeface="Epilog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A0A71-290F-4657-85AE-E7111DB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description.dotx</Template>
  <TotalTime>0</TotalTime>
  <Pages>2</Pages>
  <Words>817</Words>
  <Characters>4498</Characters>
  <Application>Microsoft Office Word</Application>
  <DocSecurity>4</DocSecurity>
  <Lines>107</Lines>
  <Paragraphs>64</Paragraphs>
  <ScaleCrop>false</ScaleCrop>
  <HeadingPairs>
    <vt:vector size="2" baseType="variant">
      <vt:variant>
        <vt:lpstr>Title</vt:lpstr>
      </vt:variant>
      <vt:variant>
        <vt:i4>1</vt:i4>
      </vt:variant>
    </vt:vector>
  </HeadingPairs>
  <TitlesOfParts>
    <vt:vector size="1" baseType="lpstr">
      <vt:lpstr>Job description FM106 R1</vt:lpstr>
    </vt:vector>
  </TitlesOfParts>
  <Company>HR Wallingford</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FM106 R1</dc:title>
  <dc:creator>Jackie Harrop</dc:creator>
  <dc:description>Document last saved:_x000d_
User: hls (EINICH)_x000d_
When: Wed 15 February 2023 10:19</dc:description>
  <cp:lastModifiedBy>Sharon Draper</cp:lastModifiedBy>
  <cp:revision>2</cp:revision>
  <cp:lastPrinted>2016-09-12T14:00:00Z</cp:lastPrinted>
  <dcterms:created xsi:type="dcterms:W3CDTF">2026-02-04T16:30:00Z</dcterms:created>
  <dcterms:modified xsi:type="dcterms:W3CDTF">2026-02-04T16:30:00Z</dcterms:modified>
</cp:coreProperties>
</file>