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E688" w14:textId="1FE683CF" w:rsidR="005E4DFF" w:rsidRDefault="00F9485E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738D56A522C5403B8E66DDE3A62BD251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AED67CBF7E244AEAB18CFE96242BAE78"/>
          </w:placeholder>
        </w:sdtPr>
        <w:sdtEndPr/>
        <w:sdtContent>
          <w:r w:rsidR="00641B93" w:rsidRPr="001A392A">
            <w:t>Business Development</w:t>
          </w:r>
          <w:r w:rsidR="00BB6F04" w:rsidRPr="001A392A">
            <w:t xml:space="preserve"> </w:t>
          </w:r>
          <w:r w:rsidR="002560FE">
            <w:t>Consultant</w:t>
          </w:r>
          <w:r w:rsidR="0014323E">
            <w:t xml:space="preserve"> </w:t>
          </w:r>
          <w:r w:rsidR="00D073FE" w:rsidRPr="001A392A">
            <w:t>-</w:t>
          </w:r>
          <w:r w:rsidR="00D83FF1">
            <w:t xml:space="preserve"> </w:t>
          </w:r>
          <w:r w:rsidR="00965C62">
            <w:t>Clean Energy</w:t>
          </w:r>
        </w:sdtContent>
      </w:sdt>
      <w:r w:rsidR="00F40F10" w:rsidRPr="00D073FE">
        <w:t xml:space="preserve"> </w:t>
      </w:r>
    </w:p>
    <w:p w14:paraId="6F419D82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3779779F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43448A46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648C100C" w14:textId="77777777" w:rsidTr="00A61000">
        <w:tc>
          <w:tcPr>
            <w:tcW w:w="9629" w:type="dxa"/>
            <w:tcBorders>
              <w:top w:val="single" w:sz="2" w:space="0" w:color="0C0C0C" w:themeColor="text1"/>
              <w:bottom w:val="single" w:sz="8" w:space="0" w:color="0C0C0C" w:themeColor="text1"/>
            </w:tcBorders>
          </w:tcPr>
          <w:p w14:paraId="511BE073" w14:textId="77777777" w:rsidR="00604438" w:rsidRDefault="00604438" w:rsidP="0014323E">
            <w:pPr>
              <w:rPr>
                <w:bCs/>
                <w:iCs/>
                <w:szCs w:val="20"/>
              </w:rPr>
            </w:pPr>
          </w:p>
          <w:p w14:paraId="523BDFFF" w14:textId="06CAB307" w:rsidR="00604438" w:rsidRDefault="00604438" w:rsidP="0014323E">
            <w:pPr>
              <w:rPr>
                <w:b/>
                <w:iCs/>
                <w:szCs w:val="20"/>
              </w:rPr>
            </w:pPr>
            <w:r w:rsidRPr="00604438">
              <w:rPr>
                <w:b/>
                <w:iCs/>
                <w:szCs w:val="20"/>
              </w:rPr>
              <w:t>The role</w:t>
            </w:r>
          </w:p>
          <w:p w14:paraId="0010D10E" w14:textId="77777777" w:rsidR="00604438" w:rsidRPr="00604438" w:rsidRDefault="00604438" w:rsidP="0014323E">
            <w:pPr>
              <w:rPr>
                <w:b/>
                <w:iCs/>
                <w:szCs w:val="20"/>
              </w:rPr>
            </w:pPr>
          </w:p>
          <w:p w14:paraId="25F997A2" w14:textId="7C263C9F" w:rsidR="0014323E" w:rsidRDefault="0014323E" w:rsidP="0014323E">
            <w:pPr>
              <w:rPr>
                <w:bCs/>
                <w:iCs/>
                <w:szCs w:val="20"/>
              </w:rPr>
            </w:pPr>
            <w:r w:rsidRPr="0014323E">
              <w:rPr>
                <w:bCs/>
                <w:iCs/>
                <w:szCs w:val="20"/>
              </w:rPr>
              <w:t xml:space="preserve">To provide </w:t>
            </w:r>
            <w:r>
              <w:rPr>
                <w:bCs/>
                <w:iCs/>
                <w:szCs w:val="20"/>
              </w:rPr>
              <w:t xml:space="preserve">support to the development of our </w:t>
            </w:r>
            <w:r w:rsidRPr="0014323E">
              <w:rPr>
                <w:bCs/>
                <w:iCs/>
                <w:szCs w:val="20"/>
              </w:rPr>
              <w:t>clean energy business, with the objective of delivering HR Wallingford’s strategic development and growth in clean energy markets.</w:t>
            </w:r>
          </w:p>
          <w:p w14:paraId="350E5869" w14:textId="77777777" w:rsidR="0014323E" w:rsidRPr="0014323E" w:rsidRDefault="0014323E" w:rsidP="0014323E">
            <w:pPr>
              <w:rPr>
                <w:bCs/>
                <w:iCs/>
                <w:szCs w:val="20"/>
              </w:rPr>
            </w:pPr>
          </w:p>
          <w:p w14:paraId="733AF0C0" w14:textId="1E2D5130" w:rsidR="0014323E" w:rsidRPr="0014323E" w:rsidRDefault="0014323E" w:rsidP="0014323E">
            <w:pPr>
              <w:rPr>
                <w:bCs/>
                <w:iCs/>
                <w:szCs w:val="20"/>
              </w:rPr>
            </w:pPr>
            <w:r w:rsidRPr="0014323E">
              <w:rPr>
                <w:bCs/>
                <w:iCs/>
                <w:szCs w:val="20"/>
              </w:rPr>
              <w:t xml:space="preserve">The role will </w:t>
            </w:r>
            <w:r>
              <w:rPr>
                <w:bCs/>
                <w:iCs/>
                <w:szCs w:val="20"/>
              </w:rPr>
              <w:t xml:space="preserve">be proactively engaged in </w:t>
            </w:r>
            <w:r w:rsidRPr="0014323E">
              <w:rPr>
                <w:bCs/>
                <w:iCs/>
                <w:szCs w:val="20"/>
              </w:rPr>
              <w:t>clean energy business development activity, aligning market opportunity, technical capability and company strategy to deliver sustainable growth across the short, medium and long term.</w:t>
            </w:r>
            <w:r w:rsidR="00E63FC4">
              <w:rPr>
                <w:bCs/>
                <w:iCs/>
                <w:szCs w:val="20"/>
              </w:rPr>
              <w:t xml:space="preserve"> The role will also support business development in other established energy sectors where needed.</w:t>
            </w:r>
          </w:p>
          <w:p w14:paraId="16199A52" w14:textId="77777777" w:rsidR="0014323E" w:rsidRDefault="0014323E" w:rsidP="0014323E">
            <w:pPr>
              <w:rPr>
                <w:bCs/>
                <w:iCs/>
                <w:szCs w:val="20"/>
              </w:rPr>
            </w:pPr>
          </w:p>
          <w:p w14:paraId="3732D9DB" w14:textId="1D1158A1" w:rsidR="0014323E" w:rsidRPr="0014323E" w:rsidRDefault="0014323E" w:rsidP="0014323E">
            <w:pPr>
              <w:rPr>
                <w:bCs/>
                <w:iCs/>
                <w:szCs w:val="20"/>
              </w:rPr>
            </w:pPr>
            <w:r w:rsidRPr="0014323E">
              <w:rPr>
                <w:bCs/>
                <w:iCs/>
                <w:szCs w:val="20"/>
              </w:rPr>
              <w:t xml:space="preserve">The postholder will </w:t>
            </w:r>
            <w:r w:rsidR="00035CD3">
              <w:rPr>
                <w:bCs/>
                <w:iCs/>
                <w:szCs w:val="20"/>
              </w:rPr>
              <w:t xml:space="preserve"> report to </w:t>
            </w:r>
            <w:r w:rsidRPr="0014323E">
              <w:rPr>
                <w:bCs/>
                <w:iCs/>
                <w:szCs w:val="20"/>
              </w:rPr>
              <w:t>the Energy Sector Lead</w:t>
            </w:r>
            <w:r w:rsidR="00035CD3">
              <w:rPr>
                <w:bCs/>
                <w:iCs/>
                <w:szCs w:val="20"/>
              </w:rPr>
              <w:t>.</w:t>
            </w:r>
          </w:p>
          <w:p w14:paraId="34DC73D0" w14:textId="77777777" w:rsidR="0014323E" w:rsidRPr="0014323E" w:rsidRDefault="0014323E" w:rsidP="0014323E">
            <w:pPr>
              <w:rPr>
                <w:b/>
                <w:iCs/>
                <w:szCs w:val="20"/>
              </w:rPr>
            </w:pPr>
          </w:p>
          <w:p w14:paraId="0853B075" w14:textId="77777777" w:rsidR="0014323E" w:rsidRPr="0014323E" w:rsidRDefault="0014323E" w:rsidP="0014323E">
            <w:pPr>
              <w:rPr>
                <w:b/>
                <w:iCs/>
                <w:szCs w:val="20"/>
              </w:rPr>
            </w:pPr>
            <w:r w:rsidRPr="0014323E">
              <w:rPr>
                <w:b/>
                <w:iCs/>
                <w:szCs w:val="20"/>
              </w:rPr>
              <w:t>Experience and Role Development</w:t>
            </w:r>
          </w:p>
          <w:p w14:paraId="14608D86" w14:textId="77777777" w:rsidR="0014323E" w:rsidRPr="0014323E" w:rsidRDefault="0014323E" w:rsidP="0014323E">
            <w:pPr>
              <w:rPr>
                <w:bCs/>
                <w:iCs/>
                <w:szCs w:val="20"/>
              </w:rPr>
            </w:pPr>
          </w:p>
          <w:p w14:paraId="0DA52D55" w14:textId="3221C070" w:rsidR="0014323E" w:rsidRDefault="0014323E" w:rsidP="0014323E">
            <w:pPr>
              <w:rPr>
                <w:bCs/>
                <w:iCs/>
                <w:szCs w:val="20"/>
              </w:rPr>
            </w:pPr>
            <w:r w:rsidRPr="0014323E">
              <w:rPr>
                <w:bCs/>
                <w:iCs/>
                <w:szCs w:val="20"/>
              </w:rPr>
              <w:t xml:space="preserve">This role is suitable for an individual with circa </w:t>
            </w:r>
            <w:r w:rsidR="00E63FC4">
              <w:rPr>
                <w:bCs/>
                <w:iCs/>
                <w:szCs w:val="20"/>
              </w:rPr>
              <w:t>5 -10</w:t>
            </w:r>
            <w:r w:rsidR="00E63FC4" w:rsidRPr="0014323E">
              <w:rPr>
                <w:bCs/>
                <w:iCs/>
                <w:szCs w:val="20"/>
              </w:rPr>
              <w:t xml:space="preserve"> </w:t>
            </w:r>
            <w:r w:rsidRPr="0014323E">
              <w:rPr>
                <w:bCs/>
                <w:iCs/>
                <w:szCs w:val="20"/>
              </w:rPr>
              <w:t>years’ relevant professional experience, who has established a foundation in business development, market engagement, consultancy or project delivery within a technical or engineering</w:t>
            </w:r>
            <w:r w:rsidRPr="0014323E">
              <w:rPr>
                <w:rFonts w:ascii="Cambria Math" w:hAnsi="Cambria Math" w:cs="Cambria Math"/>
                <w:bCs/>
                <w:iCs/>
                <w:szCs w:val="20"/>
              </w:rPr>
              <w:t>‑</w:t>
            </w:r>
            <w:r w:rsidRPr="0014323E">
              <w:rPr>
                <w:bCs/>
                <w:iCs/>
                <w:szCs w:val="20"/>
              </w:rPr>
              <w:t xml:space="preserve">led environment, and who is continuing to develop specialist </w:t>
            </w:r>
            <w:r w:rsidR="00C01419">
              <w:rPr>
                <w:bCs/>
                <w:iCs/>
                <w:szCs w:val="20"/>
              </w:rPr>
              <w:t>knowledge</w:t>
            </w:r>
            <w:r w:rsidR="00C01419" w:rsidRPr="0014323E">
              <w:rPr>
                <w:bCs/>
                <w:iCs/>
                <w:szCs w:val="20"/>
              </w:rPr>
              <w:t xml:space="preserve"> </w:t>
            </w:r>
            <w:r w:rsidRPr="0014323E">
              <w:rPr>
                <w:bCs/>
                <w:iCs/>
                <w:szCs w:val="20"/>
              </w:rPr>
              <w:t>in clean energy.</w:t>
            </w:r>
          </w:p>
          <w:p w14:paraId="50B554A1" w14:textId="77777777" w:rsidR="0014323E" w:rsidRPr="0014323E" w:rsidRDefault="0014323E" w:rsidP="0014323E">
            <w:pPr>
              <w:rPr>
                <w:bCs/>
                <w:iCs/>
                <w:szCs w:val="20"/>
              </w:rPr>
            </w:pPr>
          </w:p>
          <w:p w14:paraId="14C8CB88" w14:textId="63307B34" w:rsidR="0014323E" w:rsidRDefault="0014323E" w:rsidP="0014323E">
            <w:pPr>
              <w:rPr>
                <w:bCs/>
                <w:iCs/>
                <w:szCs w:val="20"/>
              </w:rPr>
            </w:pPr>
            <w:r w:rsidRPr="0014323E">
              <w:rPr>
                <w:bCs/>
                <w:iCs/>
                <w:szCs w:val="20"/>
              </w:rPr>
              <w:t xml:space="preserve">The postholder will be supported and mentored by the Energy Sector Lead, alongside close collaboration with experienced Business Development Managers across sectors and regions. </w:t>
            </w:r>
            <w:r>
              <w:rPr>
                <w:bCs/>
                <w:iCs/>
                <w:szCs w:val="20"/>
              </w:rPr>
              <w:t xml:space="preserve">  </w:t>
            </w:r>
            <w:r w:rsidRPr="0014323E">
              <w:rPr>
                <w:bCs/>
                <w:iCs/>
                <w:szCs w:val="20"/>
              </w:rPr>
              <w:t xml:space="preserve">This support will enable the individual to further develop sector knowledge, commercial judgement and leadership capability, while taking increasing </w:t>
            </w:r>
            <w:r w:rsidR="00E63FC4">
              <w:rPr>
                <w:bCs/>
                <w:iCs/>
                <w:szCs w:val="20"/>
              </w:rPr>
              <w:t xml:space="preserve">responsibility for our </w:t>
            </w:r>
            <w:r w:rsidRPr="0014323E">
              <w:rPr>
                <w:bCs/>
                <w:iCs/>
                <w:szCs w:val="20"/>
              </w:rPr>
              <w:t>clean energy business development priorities.</w:t>
            </w:r>
          </w:p>
          <w:p w14:paraId="2FB7F514" w14:textId="77777777" w:rsidR="0014323E" w:rsidRPr="0014323E" w:rsidRDefault="0014323E" w:rsidP="0014323E">
            <w:pPr>
              <w:rPr>
                <w:bCs/>
                <w:iCs/>
                <w:szCs w:val="20"/>
              </w:rPr>
            </w:pPr>
          </w:p>
          <w:p w14:paraId="7634D5FA" w14:textId="55F36423" w:rsidR="0014323E" w:rsidRPr="0014323E" w:rsidRDefault="00E63FC4" w:rsidP="0014323E">
            <w:pPr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T</w:t>
            </w:r>
            <w:r w:rsidR="0014323E" w:rsidRPr="0014323E">
              <w:rPr>
                <w:bCs/>
                <w:iCs/>
                <w:szCs w:val="20"/>
              </w:rPr>
              <w:t>he postholder is expected to continue developing expertise and confidence through structured mentoring, collaborative working and exposure to complex opportunities, bids and projects.</w:t>
            </w:r>
          </w:p>
          <w:p w14:paraId="2374D0F3" w14:textId="77777777" w:rsidR="0014323E" w:rsidRDefault="0014323E" w:rsidP="00DA6CDC">
            <w:pPr>
              <w:rPr>
                <w:bCs/>
                <w:iCs/>
                <w:szCs w:val="20"/>
              </w:rPr>
            </w:pPr>
          </w:p>
          <w:p w14:paraId="7375C885" w14:textId="77777777" w:rsidR="00604438" w:rsidRPr="00604438" w:rsidRDefault="00604438" w:rsidP="00604438">
            <w:pPr>
              <w:rPr>
                <w:b/>
                <w:iCs/>
                <w:szCs w:val="20"/>
              </w:rPr>
            </w:pPr>
            <w:r w:rsidRPr="00604438">
              <w:rPr>
                <w:b/>
                <w:iCs/>
                <w:szCs w:val="20"/>
              </w:rPr>
              <w:t>Key Responsibilities</w:t>
            </w:r>
          </w:p>
          <w:p w14:paraId="089A7A80" w14:textId="77777777" w:rsidR="00604438" w:rsidRPr="00604438" w:rsidRDefault="00604438" w:rsidP="00604438">
            <w:pPr>
              <w:rPr>
                <w:bCs/>
                <w:iCs/>
                <w:szCs w:val="20"/>
              </w:rPr>
            </w:pPr>
          </w:p>
          <w:p w14:paraId="71586699" w14:textId="77777777" w:rsidR="00604438" w:rsidRPr="00E63FC4" w:rsidRDefault="00604438" w:rsidP="00604438">
            <w:pPr>
              <w:pStyle w:val="Bullet1"/>
            </w:pPr>
            <w:r w:rsidRPr="00604438">
              <w:rPr>
                <w:bCs/>
                <w:iCs/>
                <w:szCs w:val="20"/>
              </w:rPr>
              <w:t>Play a key role in delivering the company’s clean energy business development objectives, contributing directly to growth and market positioning.</w:t>
            </w:r>
          </w:p>
          <w:p w14:paraId="0A8AD297" w14:textId="48B0148C" w:rsidR="00E63FC4" w:rsidRPr="00604438" w:rsidRDefault="00E63FC4" w:rsidP="00604438">
            <w:pPr>
              <w:pStyle w:val="Bullet1"/>
            </w:pPr>
            <w:r>
              <w:rPr>
                <w:bCs/>
                <w:iCs/>
                <w:szCs w:val="20"/>
              </w:rPr>
              <w:t>The role will from time to time also support business development where needed in our established carbon-based and nuclear sectors.</w:t>
            </w:r>
          </w:p>
          <w:p w14:paraId="02692EB1" w14:textId="74B5E981" w:rsidR="00604438" w:rsidRPr="00604438" w:rsidRDefault="00604438" w:rsidP="00604438">
            <w:pPr>
              <w:pStyle w:val="Bullet1"/>
            </w:pPr>
            <w:r w:rsidRPr="00604438">
              <w:rPr>
                <w:bCs/>
                <w:iCs/>
                <w:szCs w:val="20"/>
              </w:rPr>
              <w:t xml:space="preserve">Prioritise business development effort according to market potential, based on consultation with </w:t>
            </w:r>
            <w:r w:rsidR="00E63FC4">
              <w:rPr>
                <w:bCs/>
                <w:iCs/>
                <w:szCs w:val="20"/>
              </w:rPr>
              <w:t xml:space="preserve">the Sector Lead, in line with the </w:t>
            </w:r>
            <w:r w:rsidRPr="00604438">
              <w:rPr>
                <w:bCs/>
                <w:iCs/>
                <w:szCs w:val="20"/>
              </w:rPr>
              <w:t xml:space="preserve">clean energy </w:t>
            </w:r>
            <w:r w:rsidR="00E63FC4">
              <w:rPr>
                <w:bCs/>
                <w:iCs/>
                <w:szCs w:val="20"/>
              </w:rPr>
              <w:t xml:space="preserve">sector </w:t>
            </w:r>
            <w:r w:rsidRPr="00604438">
              <w:rPr>
                <w:bCs/>
                <w:iCs/>
                <w:szCs w:val="20"/>
              </w:rPr>
              <w:t>plan.</w:t>
            </w:r>
          </w:p>
          <w:p w14:paraId="4DF2EC5C" w14:textId="77777777" w:rsidR="00604438" w:rsidRPr="00604438" w:rsidRDefault="00604438" w:rsidP="00604438">
            <w:pPr>
              <w:pStyle w:val="Bullet1"/>
            </w:pPr>
            <w:r w:rsidRPr="00604438">
              <w:rPr>
                <w:bCs/>
                <w:iCs/>
                <w:szCs w:val="20"/>
              </w:rPr>
              <w:t>Identify, build and maintain relationships with key clients, partners and stakeholders within clean energy markets.</w:t>
            </w:r>
          </w:p>
          <w:p w14:paraId="01709B62" w14:textId="77777777" w:rsidR="00604438" w:rsidRPr="00604438" w:rsidRDefault="00604438" w:rsidP="00604438">
            <w:pPr>
              <w:pStyle w:val="Bullet1"/>
            </w:pPr>
            <w:r w:rsidRPr="00604438">
              <w:rPr>
                <w:bCs/>
                <w:iCs/>
                <w:szCs w:val="20"/>
              </w:rPr>
              <w:t>Develop, maintain and share market intelligence and sector knowledge to support strategic decision</w:t>
            </w:r>
            <w:r w:rsidRPr="00604438">
              <w:rPr>
                <w:rFonts w:ascii="Cambria Math" w:hAnsi="Cambria Math" w:cs="Cambria Math"/>
                <w:bCs/>
                <w:iCs/>
                <w:szCs w:val="20"/>
              </w:rPr>
              <w:t>‑</w:t>
            </w:r>
            <w:r w:rsidRPr="00604438">
              <w:rPr>
                <w:bCs/>
                <w:iCs/>
                <w:szCs w:val="20"/>
              </w:rPr>
              <w:t>making and work winning.</w:t>
            </w:r>
          </w:p>
          <w:p w14:paraId="26F9A7E4" w14:textId="77777777" w:rsidR="00604438" w:rsidRPr="00604438" w:rsidRDefault="00604438" w:rsidP="00604438">
            <w:pPr>
              <w:pStyle w:val="Bullet1"/>
            </w:pPr>
            <w:r w:rsidRPr="00604438">
              <w:rPr>
                <w:bCs/>
                <w:iCs/>
                <w:szCs w:val="20"/>
              </w:rPr>
              <w:t>Identify, track and manage prospects and opportunities within the clean energy sector.</w:t>
            </w:r>
          </w:p>
          <w:p w14:paraId="36CBD359" w14:textId="77777777" w:rsidR="00604438" w:rsidRPr="00604438" w:rsidRDefault="00604438" w:rsidP="00604438">
            <w:pPr>
              <w:pStyle w:val="Bullet1"/>
            </w:pPr>
            <w:r w:rsidRPr="00604438">
              <w:rPr>
                <w:bCs/>
                <w:iCs/>
                <w:szCs w:val="20"/>
              </w:rPr>
              <w:t>Identify and assess elements of clean energy market potential, including emerging technologies, geographies and funding mechanisms.</w:t>
            </w:r>
          </w:p>
          <w:p w14:paraId="524E28D2" w14:textId="07F1FF30" w:rsidR="00604438" w:rsidRPr="00604438" w:rsidRDefault="00604438" w:rsidP="00604438">
            <w:pPr>
              <w:pStyle w:val="Bullet1"/>
            </w:pPr>
            <w:r w:rsidRPr="00604438">
              <w:rPr>
                <w:bCs/>
                <w:iCs/>
                <w:szCs w:val="20"/>
              </w:rPr>
              <w:t xml:space="preserve">Deliver business development </w:t>
            </w:r>
            <w:r w:rsidR="00C01419">
              <w:rPr>
                <w:bCs/>
                <w:iCs/>
                <w:szCs w:val="20"/>
              </w:rPr>
              <w:t>objectives</w:t>
            </w:r>
            <w:r w:rsidR="00C01419" w:rsidRPr="00604438">
              <w:rPr>
                <w:bCs/>
                <w:iCs/>
                <w:szCs w:val="20"/>
              </w:rPr>
              <w:t xml:space="preserve"> </w:t>
            </w:r>
            <w:r w:rsidR="00C01419">
              <w:rPr>
                <w:bCs/>
                <w:iCs/>
                <w:szCs w:val="20"/>
              </w:rPr>
              <w:t>by</w:t>
            </w:r>
            <w:r w:rsidR="00C01419" w:rsidRPr="00604438">
              <w:rPr>
                <w:bCs/>
                <w:iCs/>
                <w:szCs w:val="20"/>
              </w:rPr>
              <w:t xml:space="preserve"> </w:t>
            </w:r>
            <w:r w:rsidRPr="00604438">
              <w:rPr>
                <w:bCs/>
                <w:iCs/>
                <w:szCs w:val="20"/>
              </w:rPr>
              <w:t>identifying opportunities with new and existing clients, working across sectors and regions as appropriate.</w:t>
            </w:r>
          </w:p>
          <w:p w14:paraId="1B80DEA0" w14:textId="77777777" w:rsidR="00604438" w:rsidRPr="00604438" w:rsidRDefault="00604438" w:rsidP="00604438">
            <w:pPr>
              <w:rPr>
                <w:bCs/>
                <w:iCs/>
                <w:szCs w:val="20"/>
              </w:rPr>
            </w:pPr>
          </w:p>
          <w:p w14:paraId="190488D0" w14:textId="77777777" w:rsidR="00604438" w:rsidRPr="00604438" w:rsidRDefault="00604438" w:rsidP="00604438">
            <w:pPr>
              <w:rPr>
                <w:b/>
                <w:iCs/>
                <w:szCs w:val="20"/>
              </w:rPr>
            </w:pPr>
            <w:r w:rsidRPr="00604438">
              <w:rPr>
                <w:b/>
                <w:iCs/>
                <w:szCs w:val="20"/>
              </w:rPr>
              <w:t>To Work With</w:t>
            </w:r>
          </w:p>
          <w:p w14:paraId="5E016096" w14:textId="77777777" w:rsidR="00604438" w:rsidRPr="00604438" w:rsidRDefault="00604438" w:rsidP="00604438">
            <w:pPr>
              <w:rPr>
                <w:bCs/>
                <w:iCs/>
                <w:szCs w:val="20"/>
              </w:rPr>
            </w:pPr>
          </w:p>
          <w:p w14:paraId="2C88C271" w14:textId="672A8416" w:rsidR="00604438" w:rsidRPr="00604438" w:rsidRDefault="00604438" w:rsidP="00604438">
            <w:pPr>
              <w:pStyle w:val="Bullet1"/>
            </w:pPr>
            <w:r w:rsidRPr="00604438">
              <w:t>Energy Sector Lead</w:t>
            </w:r>
            <w:r>
              <w:t xml:space="preserve"> (</w:t>
            </w:r>
            <w:r w:rsidR="00173B3A">
              <w:t xml:space="preserve">key point of contact and </w:t>
            </w:r>
            <w:r>
              <w:t>line manager)</w:t>
            </w:r>
            <w:r w:rsidR="00E63FC4">
              <w:t>.</w:t>
            </w:r>
          </w:p>
          <w:p w14:paraId="3818C415" w14:textId="20404177" w:rsidR="00173B3A" w:rsidRDefault="00173B3A" w:rsidP="00173B3A">
            <w:pPr>
              <w:pStyle w:val="Bullet1"/>
            </w:pPr>
            <w:r w:rsidRPr="00604438">
              <w:t>Director</w:t>
            </w:r>
            <w:r>
              <w:t xml:space="preserve"> of Markets and Research.</w:t>
            </w:r>
          </w:p>
          <w:p w14:paraId="15984417" w14:textId="2F06EF58" w:rsidR="00604438" w:rsidRDefault="00604438" w:rsidP="00604438">
            <w:pPr>
              <w:pStyle w:val="Bullet1"/>
            </w:pPr>
            <w:r w:rsidRPr="00604438">
              <w:t>Marketing and Communications team on the development of marketing materials and campaigns</w:t>
            </w:r>
            <w:r w:rsidR="00E63FC4">
              <w:t>.</w:t>
            </w:r>
          </w:p>
          <w:p w14:paraId="326D74D3" w14:textId="7B91248A" w:rsidR="00604438" w:rsidRPr="00604438" w:rsidRDefault="00604438" w:rsidP="00604438">
            <w:pPr>
              <w:pStyle w:val="Bullet1"/>
            </w:pPr>
            <w:r>
              <w:t>Business Support team to rapidly and effectively triage opportunities from tender portals.</w:t>
            </w:r>
          </w:p>
          <w:p w14:paraId="0D78F46F" w14:textId="37526983" w:rsidR="00604438" w:rsidRPr="00604438" w:rsidRDefault="00604438" w:rsidP="00604438">
            <w:pPr>
              <w:pStyle w:val="Bullet1"/>
            </w:pPr>
            <w:r w:rsidRPr="00604438">
              <w:lastRenderedPageBreak/>
              <w:t>Technical Directors and technical specialists across the company to define HR Wallingford’s offering and support work winning</w:t>
            </w:r>
            <w:r w:rsidR="00E63FC4">
              <w:t>.</w:t>
            </w:r>
          </w:p>
          <w:p w14:paraId="6DA81720" w14:textId="5A43773A" w:rsidR="002B7EDD" w:rsidRPr="002B7EDD" w:rsidRDefault="00604438" w:rsidP="00604438">
            <w:pPr>
              <w:pStyle w:val="Bullet1"/>
            </w:pPr>
            <w:r w:rsidRPr="00604438">
              <w:t>Finance and Legal teams to ensure compliance, appropriate costings, contractual alignment and accurate pipeline reporting</w:t>
            </w:r>
            <w:r w:rsidR="00E63FC4">
              <w:t>.</w:t>
            </w:r>
          </w:p>
        </w:tc>
      </w:tr>
    </w:tbl>
    <w:p w14:paraId="6C508C13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3FA2CA24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691AAE6F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D810AC" w:rsidRPr="00C04767" w14:paraId="3EC0BA33" w14:textId="77777777" w:rsidTr="00332DFF">
        <w:tc>
          <w:tcPr>
            <w:tcW w:w="9854" w:type="dxa"/>
          </w:tcPr>
          <w:p w14:paraId="204E651F" w14:textId="2E4F00F1" w:rsidR="00604438" w:rsidRDefault="00604438" w:rsidP="00604438">
            <w:pPr>
              <w:pStyle w:val="Bullet1"/>
            </w:pPr>
            <w:r>
              <w:t>Undertake and manage business development activities in line with the agreed budget and clean energy market plan.</w:t>
            </w:r>
          </w:p>
          <w:p w14:paraId="566BE9EC" w14:textId="04B37487" w:rsidR="00604438" w:rsidRDefault="00604438" w:rsidP="00604438">
            <w:pPr>
              <w:pStyle w:val="Bullet1"/>
            </w:pPr>
            <w:r>
              <w:t>Act as a visible</w:t>
            </w:r>
            <w:r w:rsidR="00E63FC4">
              <w:t xml:space="preserve"> point of contact for </w:t>
            </w:r>
            <w:r>
              <w:t>clean energy business development across the company</w:t>
            </w:r>
            <w:r w:rsidR="00E63FC4">
              <w:t>, and other energy sectors where needed</w:t>
            </w:r>
            <w:r>
              <w:t>.</w:t>
            </w:r>
          </w:p>
          <w:p w14:paraId="1046366B" w14:textId="216B3F8D" w:rsidR="00604438" w:rsidRDefault="00604438" w:rsidP="00604438">
            <w:pPr>
              <w:pStyle w:val="Bullet1"/>
            </w:pPr>
            <w:r>
              <w:t>Provide support and input to Sector Lead in Energy and other sectors to enhance cross</w:t>
            </w:r>
            <w:r>
              <w:rPr>
                <w:rFonts w:ascii="Cambria Math" w:hAnsi="Cambria Math" w:cs="Cambria Math"/>
              </w:rPr>
              <w:t>‑</w:t>
            </w:r>
            <w:r>
              <w:t>sector collaboration and opportunity development.</w:t>
            </w:r>
          </w:p>
          <w:p w14:paraId="6D007C66" w14:textId="77777777" w:rsidR="00604438" w:rsidRDefault="00604438" w:rsidP="00604438">
            <w:pPr>
              <w:pStyle w:val="Bullet1"/>
            </w:pPr>
            <w:r>
              <w:t>Actively raise the profile of HR Wallingford within clean energy markets through industry engagement and client interaction.</w:t>
            </w:r>
          </w:p>
          <w:p w14:paraId="3FC63E87" w14:textId="123586A4" w:rsidR="00604438" w:rsidRDefault="00604438" w:rsidP="00604438">
            <w:pPr>
              <w:pStyle w:val="Bullet1"/>
            </w:pPr>
            <w:r>
              <w:t xml:space="preserve">Maintain an </w:t>
            </w:r>
            <w:r w:rsidR="00D83FF1">
              <w:t xml:space="preserve">understanding </w:t>
            </w:r>
            <w:r>
              <w:t>of clean energy work delivered for clients and projects, using this insight to inform market positioning and future opportunities.</w:t>
            </w:r>
          </w:p>
          <w:p w14:paraId="50E6B0DA" w14:textId="1257311B" w:rsidR="00604438" w:rsidRDefault="00604438" w:rsidP="00604438">
            <w:pPr>
              <w:pStyle w:val="Bullet1"/>
            </w:pPr>
            <w:r>
              <w:t>Take on the role of Proposal Manager</w:t>
            </w:r>
            <w:r w:rsidR="002560FE">
              <w:t xml:space="preserve"> or </w:t>
            </w:r>
            <w:r>
              <w:t>Project Manager where appropriately qualified and where required to support business objectives</w:t>
            </w:r>
            <w:r w:rsidR="00E63FC4">
              <w:t>.</w:t>
            </w:r>
            <w:r w:rsidR="00E63FC4" w:rsidDel="00E63FC4">
              <w:t xml:space="preserve"> </w:t>
            </w:r>
          </w:p>
          <w:p w14:paraId="00A3618F" w14:textId="762A21A8" w:rsidR="00604438" w:rsidRDefault="00D83FF1" w:rsidP="00604438">
            <w:pPr>
              <w:pStyle w:val="Bullet1"/>
            </w:pPr>
            <w:r>
              <w:t xml:space="preserve">Support the Energy Sector lead with delivery </w:t>
            </w:r>
            <w:r w:rsidR="00604438">
              <w:t>against agreed work</w:t>
            </w:r>
            <w:r w:rsidR="00604438">
              <w:rPr>
                <w:rFonts w:ascii="Cambria Math" w:hAnsi="Cambria Math" w:cs="Cambria Math"/>
              </w:rPr>
              <w:t>‑</w:t>
            </w:r>
            <w:r w:rsidR="00604438">
              <w:t>won targets for clean energy.</w:t>
            </w:r>
          </w:p>
          <w:p w14:paraId="636F273A" w14:textId="6784984E" w:rsidR="00604438" w:rsidRDefault="00604438" w:rsidP="00604438">
            <w:pPr>
              <w:pStyle w:val="Bullet1"/>
            </w:pPr>
            <w:r>
              <w:t xml:space="preserve">Liaise with </w:t>
            </w:r>
            <w:r w:rsidR="00D83FF1">
              <w:t xml:space="preserve">Clients, External Stakeholders, Energy Sector Lead, Divisional Directors, and internal </w:t>
            </w:r>
            <w:r>
              <w:t>technical experts to:</w:t>
            </w:r>
          </w:p>
          <w:p w14:paraId="5E6F07F2" w14:textId="77777777" w:rsidR="00604438" w:rsidRDefault="00604438" w:rsidP="00604438">
            <w:pPr>
              <w:pStyle w:val="Bullet2"/>
            </w:pPr>
            <w:r>
              <w:t>Identify emerging market trends and client requirements</w:t>
            </w:r>
          </w:p>
          <w:p w14:paraId="1073E296" w14:textId="77777777" w:rsidR="00604438" w:rsidRDefault="00604438" w:rsidP="00604438">
            <w:pPr>
              <w:pStyle w:val="Bullet2"/>
            </w:pPr>
            <w:r>
              <w:t>Anticipate future business development priorities</w:t>
            </w:r>
          </w:p>
          <w:p w14:paraId="70769DDC" w14:textId="2EA52472" w:rsidR="00604438" w:rsidRDefault="00604438" w:rsidP="00604438">
            <w:pPr>
              <w:pStyle w:val="Bullet2"/>
            </w:pPr>
            <w:r>
              <w:t>Identify research themes that contribute to long</w:t>
            </w:r>
            <w:r w:rsidRPr="00604438">
              <w:rPr>
                <w:rFonts w:ascii="Cambria Math" w:hAnsi="Cambria Math" w:cs="Cambria Math"/>
              </w:rPr>
              <w:t>‑</w:t>
            </w:r>
            <w:r>
              <w:t>term market success.</w:t>
            </w:r>
          </w:p>
          <w:p w14:paraId="57AEF0ED" w14:textId="36038864" w:rsidR="00604438" w:rsidRDefault="00604438" w:rsidP="00604438">
            <w:pPr>
              <w:pStyle w:val="Bullet1"/>
            </w:pPr>
            <w:r>
              <w:t>Support the Sector Lead with the development of clean energy sector business plan</w:t>
            </w:r>
            <w:r w:rsidR="00E63FC4">
              <w:t>ning</w:t>
            </w:r>
            <w:r>
              <w:t>, aligned with HR Wallingford’s corporate strategy and transition plan. These plans will be reviewed annually and include:</w:t>
            </w:r>
          </w:p>
          <w:p w14:paraId="6D5D937B" w14:textId="77777777" w:rsidR="00604438" w:rsidRDefault="00604438" w:rsidP="00604438">
            <w:pPr>
              <w:pStyle w:val="Bullet2"/>
            </w:pPr>
            <w:r>
              <w:t>Trading locations and priority markets</w:t>
            </w:r>
          </w:p>
          <w:p w14:paraId="39EFB84A" w14:textId="77777777" w:rsidR="00604438" w:rsidRDefault="00604438" w:rsidP="00604438">
            <w:pPr>
              <w:pStyle w:val="Bullet2"/>
            </w:pPr>
            <w:r>
              <w:t>Options for future delivery models</w:t>
            </w:r>
          </w:p>
          <w:p w14:paraId="3C7DCA39" w14:textId="77777777" w:rsidR="00604438" w:rsidRDefault="00604438" w:rsidP="00604438">
            <w:pPr>
              <w:pStyle w:val="Bullet2"/>
            </w:pPr>
            <w:r>
              <w:t>Growth model and resource considerations</w:t>
            </w:r>
          </w:p>
          <w:p w14:paraId="5ADBD67F" w14:textId="523B26C8" w:rsidR="00604438" w:rsidRPr="0061426D" w:rsidRDefault="00604438" w:rsidP="00604438">
            <w:pPr>
              <w:pStyle w:val="Bullet2"/>
            </w:pPr>
            <w:r>
              <w:t>Potential local partners and collaborators</w:t>
            </w:r>
            <w:r w:rsidR="00E63FC4">
              <w:t>.</w:t>
            </w:r>
          </w:p>
        </w:tc>
      </w:tr>
      <w:tr w:rsidR="00DA6CDC" w:rsidRPr="00C04767" w14:paraId="6AA44EBB" w14:textId="77777777" w:rsidTr="00332DFF">
        <w:tc>
          <w:tcPr>
            <w:tcW w:w="9854" w:type="dxa"/>
          </w:tcPr>
          <w:p w14:paraId="1EEAD76B" w14:textId="77777777" w:rsidR="00604438" w:rsidRPr="00604438" w:rsidRDefault="00604438" w:rsidP="00604438">
            <w:pPr>
              <w:pStyle w:val="Bullet1"/>
              <w:numPr>
                <w:ilvl w:val="0"/>
                <w:numId w:val="0"/>
              </w:numPr>
              <w:ind w:left="340" w:hanging="340"/>
              <w:rPr>
                <w:b/>
                <w:bCs/>
              </w:rPr>
            </w:pPr>
            <w:r w:rsidRPr="00604438">
              <w:rPr>
                <w:b/>
                <w:bCs/>
              </w:rPr>
              <w:t>Experience &amp; Qualifications</w:t>
            </w:r>
          </w:p>
          <w:p w14:paraId="1A0489E4" w14:textId="409424EB" w:rsidR="00604438" w:rsidRDefault="00E63FC4" w:rsidP="00604438">
            <w:pPr>
              <w:pStyle w:val="Bullet1"/>
            </w:pPr>
            <w:r>
              <w:t>C</w:t>
            </w:r>
            <w:r w:rsidR="00604438">
              <w:t xml:space="preserve">irca </w:t>
            </w:r>
            <w:r>
              <w:t xml:space="preserve">5 - </w:t>
            </w:r>
            <w:r w:rsidR="00604438">
              <w:t>10 years’ relevant professional experience in business development, consultancy, project delivery or a related commercial/technical role, ideally within clean energy or adjacent sectors.</w:t>
            </w:r>
          </w:p>
          <w:p w14:paraId="5ED9ADB3" w14:textId="0A82B67C" w:rsidR="00604438" w:rsidRDefault="00E63FC4" w:rsidP="00604438">
            <w:pPr>
              <w:pStyle w:val="Bullet1"/>
            </w:pPr>
            <w:r>
              <w:t>E</w:t>
            </w:r>
            <w:r w:rsidR="00604438">
              <w:t>xperience in business development, market engagement or proposal development, with the ability to contribute effectively to bid and opportunity pipelines.</w:t>
            </w:r>
          </w:p>
          <w:p w14:paraId="66B891B3" w14:textId="1E689B0A" w:rsidR="00604438" w:rsidRDefault="00604438" w:rsidP="00604438">
            <w:pPr>
              <w:pStyle w:val="Bullet1"/>
            </w:pPr>
            <w:r>
              <w:t>Developing specialist knowledge of clean energy markets, technologies or policy drivers, with the ability to apply this knowledge to commercial decision</w:t>
            </w:r>
            <w:r w:rsidRPr="00604438">
              <w:rPr>
                <w:rFonts w:ascii="Cambria Math" w:hAnsi="Cambria Math" w:cs="Cambria Math"/>
              </w:rPr>
              <w:t>‑</w:t>
            </w:r>
            <w:r>
              <w:t>making.</w:t>
            </w:r>
          </w:p>
          <w:p w14:paraId="51BA5FC9" w14:textId="5D1197A8" w:rsidR="00604438" w:rsidRDefault="00604438" w:rsidP="00604438">
            <w:pPr>
              <w:pStyle w:val="Bullet1"/>
            </w:pPr>
            <w:r>
              <w:t>Experience of working with financial, contractual and business administration processes, including preparation of cost estimates (typically small to medium</w:t>
            </w:r>
            <w:r>
              <w:rPr>
                <w:rFonts w:ascii="Cambria Math" w:hAnsi="Cambria Math" w:cs="Cambria Math"/>
              </w:rPr>
              <w:t>‑</w:t>
            </w:r>
            <w:r>
              <w:t xml:space="preserve">scale </w:t>
            </w:r>
            <w:r w:rsidR="00E63FC4">
              <w:t xml:space="preserve">consultancy </w:t>
            </w:r>
            <w:r>
              <w:t>opportunities) with guidance as required.</w:t>
            </w:r>
          </w:p>
          <w:p w14:paraId="038D2CF5" w14:textId="77777777" w:rsidR="00604438" w:rsidRDefault="00604438" w:rsidP="00604438">
            <w:pPr>
              <w:pStyle w:val="Bullet1"/>
            </w:pPr>
            <w:r>
              <w:t>Working knowledge of project management principles and systems, with the ability to operate effectively within the HR Wallingford project management framework.</w:t>
            </w:r>
          </w:p>
          <w:p w14:paraId="120DE505" w14:textId="2782D974" w:rsidR="00604438" w:rsidRDefault="00604438" w:rsidP="00604438">
            <w:pPr>
              <w:pStyle w:val="Bullet1"/>
            </w:pPr>
            <w:r>
              <w:t>Ability to manag</w:t>
            </w:r>
            <w:r w:rsidR="00E63FC4">
              <w:t>e</w:t>
            </w:r>
            <w:r>
              <w:t xml:space="preserve"> a varied workload to agreed time, quality and budget expectations.</w:t>
            </w:r>
          </w:p>
          <w:p w14:paraId="45BC628A" w14:textId="77777777" w:rsidR="00604438" w:rsidRDefault="00604438" w:rsidP="00604438">
            <w:pPr>
              <w:pStyle w:val="Bullet1"/>
            </w:pPr>
            <w:r>
              <w:t>Strong collaborative skills, with the ability to work effectively within multidisciplinary teams, contribute to decisions and build positive working relationships.</w:t>
            </w:r>
          </w:p>
          <w:p w14:paraId="156BFBB7" w14:textId="3CE7F028" w:rsidR="00DA6CDC" w:rsidDel="00DA6CDC" w:rsidRDefault="00604438" w:rsidP="00604438">
            <w:pPr>
              <w:pStyle w:val="Bullet1"/>
            </w:pPr>
            <w:r>
              <w:t>A proactive approach to identifying business opportunities, anticipating risks and proposing solutions, supported by sound judgement and a willingness to seek input where appropriate.</w:t>
            </w:r>
          </w:p>
        </w:tc>
      </w:tr>
    </w:tbl>
    <w:p w14:paraId="02B41E3B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581B09F3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52F87FE5" w14:textId="77777777" w:rsidR="00D810AC" w:rsidRPr="00C04767" w:rsidRDefault="0077515F" w:rsidP="00332DFF">
            <w:pPr>
              <w:pStyle w:val="Heading2"/>
            </w:pPr>
            <w:r>
              <w:lastRenderedPageBreak/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224F5275" w14:textId="55C0AEB0" w:rsidR="00D810AC" w:rsidRPr="00C04767" w:rsidRDefault="00641B93" w:rsidP="007927F8">
            <w:r>
              <w:t>Business Development</w:t>
            </w:r>
          </w:p>
        </w:tc>
      </w:tr>
      <w:tr w:rsidR="00D810AC" w:rsidRPr="00C04767" w14:paraId="0C0E0C41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20599901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284F7A28" w14:textId="7FE6207A" w:rsidR="00D810AC" w:rsidRPr="00F20979" w:rsidRDefault="00965C62" w:rsidP="007927F8">
            <w:pPr>
              <w:rPr>
                <w:highlight w:val="yellow"/>
              </w:rPr>
            </w:pPr>
            <w:r>
              <w:t>Iain Gunn</w:t>
            </w:r>
          </w:p>
        </w:tc>
      </w:tr>
      <w:tr w:rsidR="00D810AC" w:rsidRPr="00C04767" w14:paraId="560555F1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11F8C42D" w14:textId="77777777" w:rsidR="00D810AC" w:rsidRDefault="0077515F" w:rsidP="00332DFF">
            <w:pPr>
              <w:pStyle w:val="Heading2"/>
            </w:pPr>
            <w: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0F8AAC6C" w14:textId="76BCC968" w:rsidR="00D810AC" w:rsidRDefault="00965C62" w:rsidP="007927F8">
            <w:r>
              <w:t>n/a</w:t>
            </w:r>
          </w:p>
        </w:tc>
      </w:tr>
      <w:tr w:rsidR="00D810AC" w:rsidRPr="00C04767" w14:paraId="4C679D6E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25BEECEC" w14:textId="1995C35C" w:rsidR="00D810AC" w:rsidRDefault="00D810AC" w:rsidP="00332DFF">
            <w:pPr>
              <w:pStyle w:val="Heading2"/>
            </w:pPr>
            <w:r>
              <w:t>Date</w:t>
            </w:r>
            <w:r w:rsidR="00965C62">
              <w:t xml:space="preserve"> updated</w:t>
            </w:r>
          </w:p>
        </w:tc>
        <w:tc>
          <w:tcPr>
            <w:tcW w:w="6934" w:type="dxa"/>
            <w:shd w:val="clear" w:color="auto" w:fill="FFFFFF" w:themeFill="background1"/>
          </w:tcPr>
          <w:p w14:paraId="2893E291" w14:textId="10D54BFF" w:rsidR="00D810AC" w:rsidRDefault="00604438" w:rsidP="007927F8">
            <w:r>
              <w:t>April</w:t>
            </w:r>
            <w:r w:rsidR="00965C62">
              <w:t xml:space="preserve"> 202</w:t>
            </w:r>
            <w:r>
              <w:t>6</w:t>
            </w:r>
          </w:p>
        </w:tc>
      </w:tr>
    </w:tbl>
    <w:p w14:paraId="6C62AC3F" w14:textId="2CDF2555" w:rsidR="00D0062B" w:rsidRDefault="00D0062B">
      <w:pPr>
        <w:pStyle w:val="Heading1"/>
        <w:rPr>
          <w:rFonts w:cstheme="minorBidi"/>
          <w:b/>
          <w:bCs w:val="0"/>
          <w:kern w:val="36"/>
        </w:rPr>
      </w:pPr>
    </w:p>
    <w:p w14:paraId="39285B83" w14:textId="6FB0631C" w:rsidR="00D0062B" w:rsidRPr="002560FE" w:rsidRDefault="00D0062B" w:rsidP="002560FE">
      <w:pPr>
        <w:rPr>
          <w:rFonts w:eastAsiaTheme="majorEastAsia"/>
          <w:b/>
          <w:kern w:val="36"/>
          <w:sz w:val="28"/>
          <w:szCs w:val="28"/>
        </w:rPr>
      </w:pPr>
    </w:p>
    <w:sectPr w:rsidR="00D0062B" w:rsidRPr="002560FE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954A" w14:textId="77777777" w:rsidR="00F9485E" w:rsidRDefault="00F9485E" w:rsidP="00700852">
      <w:pPr>
        <w:spacing w:line="240" w:lineRule="auto"/>
      </w:pPr>
      <w:r>
        <w:separator/>
      </w:r>
    </w:p>
  </w:endnote>
  <w:endnote w:type="continuationSeparator" w:id="0">
    <w:p w14:paraId="460A8206" w14:textId="77777777" w:rsidR="00F9485E" w:rsidRDefault="00F9485E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48A50F88" w14:textId="77777777" w:rsidTr="00E906E1">
      <w:tc>
        <w:tcPr>
          <w:tcW w:w="4927" w:type="dxa"/>
        </w:tcPr>
        <w:p w14:paraId="3717DB8A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2B7EDD">
            <w:rPr>
              <w:sz w:val="16"/>
              <w:szCs w:val="16"/>
            </w:rPr>
            <w:t>2</w:t>
          </w:r>
          <w:r w:rsidRPr="004E3DC1">
            <w:rPr>
              <w:sz w:val="16"/>
              <w:szCs w:val="16"/>
            </w:rPr>
            <w:t>-0</w:t>
          </w:r>
        </w:p>
        <w:p w14:paraId="294E0896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31AC38F6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3712005F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7F51B822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9509" w14:textId="77777777" w:rsidR="00F9485E" w:rsidRDefault="00F9485E" w:rsidP="00700852">
      <w:pPr>
        <w:spacing w:line="240" w:lineRule="auto"/>
      </w:pPr>
      <w:r>
        <w:separator/>
      </w:r>
    </w:p>
  </w:footnote>
  <w:footnote w:type="continuationSeparator" w:id="0">
    <w:p w14:paraId="2D48BBBF" w14:textId="77777777" w:rsidR="00F9485E" w:rsidRDefault="00F9485E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228D4FA7" w14:textId="77777777" w:rsidTr="00A61000">
      <w:tc>
        <w:tcPr>
          <w:tcW w:w="1985" w:type="dxa"/>
          <w:vAlign w:val="bottom"/>
        </w:tcPr>
        <w:p w14:paraId="770CCC1D" w14:textId="77777777" w:rsidR="004E3DC1" w:rsidRDefault="004E3DC1" w:rsidP="004E3DC1">
          <w:r>
            <w:rPr>
              <w:noProof/>
            </w:rPr>
            <w:drawing>
              <wp:inline distT="0" distB="0" distL="0" distR="0" wp14:anchorId="6832F569" wp14:editId="05FDA97F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738D56A522C5403B8E66DDE3A62BD251"/>
          </w:placeholder>
        </w:sdtPr>
        <w:sdtEndPr/>
        <w:sdtContent>
          <w:tc>
            <w:tcPr>
              <w:tcW w:w="7654" w:type="dxa"/>
              <w:vAlign w:val="center"/>
            </w:tcPr>
            <w:p w14:paraId="40FF708B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22357444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  <w:num w:numId="35" w16cid:durableId="772747848">
    <w:abstractNumId w:val="3"/>
  </w:num>
  <w:num w:numId="36" w16cid:durableId="1495679862">
    <w:abstractNumId w:val="3"/>
  </w:num>
  <w:num w:numId="37" w16cid:durableId="1047340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80"/>
    <w:rsid w:val="00032E00"/>
    <w:rsid w:val="00035CD3"/>
    <w:rsid w:val="000423F2"/>
    <w:rsid w:val="00056C63"/>
    <w:rsid w:val="00065A39"/>
    <w:rsid w:val="00072A9D"/>
    <w:rsid w:val="00076BA4"/>
    <w:rsid w:val="000873D8"/>
    <w:rsid w:val="0009036E"/>
    <w:rsid w:val="000946A1"/>
    <w:rsid w:val="000A2BD7"/>
    <w:rsid w:val="000D1605"/>
    <w:rsid w:val="000D441F"/>
    <w:rsid w:val="000E0B65"/>
    <w:rsid w:val="000E1535"/>
    <w:rsid w:val="000E193D"/>
    <w:rsid w:val="000E77A8"/>
    <w:rsid w:val="00135066"/>
    <w:rsid w:val="0014323E"/>
    <w:rsid w:val="001444C3"/>
    <w:rsid w:val="00147AF1"/>
    <w:rsid w:val="00157DEB"/>
    <w:rsid w:val="00173B3A"/>
    <w:rsid w:val="00174F83"/>
    <w:rsid w:val="001827FF"/>
    <w:rsid w:val="00185F60"/>
    <w:rsid w:val="00196BCB"/>
    <w:rsid w:val="001A392A"/>
    <w:rsid w:val="001B4A65"/>
    <w:rsid w:val="00211119"/>
    <w:rsid w:val="002337A7"/>
    <w:rsid w:val="002560FE"/>
    <w:rsid w:val="00257147"/>
    <w:rsid w:val="00293552"/>
    <w:rsid w:val="002A1C9A"/>
    <w:rsid w:val="002B7EDD"/>
    <w:rsid w:val="002E27D8"/>
    <w:rsid w:val="002E45B7"/>
    <w:rsid w:val="002E7D6B"/>
    <w:rsid w:val="002F3F99"/>
    <w:rsid w:val="00307F58"/>
    <w:rsid w:val="0031301F"/>
    <w:rsid w:val="003317D2"/>
    <w:rsid w:val="00332F98"/>
    <w:rsid w:val="0033330C"/>
    <w:rsid w:val="00340EC4"/>
    <w:rsid w:val="00341B93"/>
    <w:rsid w:val="003470B9"/>
    <w:rsid w:val="00350EBF"/>
    <w:rsid w:val="00357132"/>
    <w:rsid w:val="003B18E8"/>
    <w:rsid w:val="003B68F0"/>
    <w:rsid w:val="003E341B"/>
    <w:rsid w:val="003F475A"/>
    <w:rsid w:val="00410738"/>
    <w:rsid w:val="004303FB"/>
    <w:rsid w:val="00452565"/>
    <w:rsid w:val="00455CD1"/>
    <w:rsid w:val="00477D4C"/>
    <w:rsid w:val="004937D0"/>
    <w:rsid w:val="004B64AB"/>
    <w:rsid w:val="004D0C48"/>
    <w:rsid w:val="004E3DC1"/>
    <w:rsid w:val="004E4BD7"/>
    <w:rsid w:val="004E7085"/>
    <w:rsid w:val="004E7148"/>
    <w:rsid w:val="004E7B73"/>
    <w:rsid w:val="00500C49"/>
    <w:rsid w:val="00506F62"/>
    <w:rsid w:val="005142A9"/>
    <w:rsid w:val="00562375"/>
    <w:rsid w:val="00570969"/>
    <w:rsid w:val="00573E3C"/>
    <w:rsid w:val="00581AB1"/>
    <w:rsid w:val="00590058"/>
    <w:rsid w:val="005A5244"/>
    <w:rsid w:val="005A7F10"/>
    <w:rsid w:val="005C2BC0"/>
    <w:rsid w:val="005E4DFF"/>
    <w:rsid w:val="005F6FBC"/>
    <w:rsid w:val="00601EC3"/>
    <w:rsid w:val="00604438"/>
    <w:rsid w:val="006078EE"/>
    <w:rsid w:val="00622870"/>
    <w:rsid w:val="0062463D"/>
    <w:rsid w:val="0063405F"/>
    <w:rsid w:val="00634914"/>
    <w:rsid w:val="00641B93"/>
    <w:rsid w:val="00650080"/>
    <w:rsid w:val="00657620"/>
    <w:rsid w:val="00663E60"/>
    <w:rsid w:val="00664AD7"/>
    <w:rsid w:val="00676E12"/>
    <w:rsid w:val="00677483"/>
    <w:rsid w:val="00685E73"/>
    <w:rsid w:val="00695743"/>
    <w:rsid w:val="006964CF"/>
    <w:rsid w:val="006E01B5"/>
    <w:rsid w:val="006E3771"/>
    <w:rsid w:val="006E3966"/>
    <w:rsid w:val="00700852"/>
    <w:rsid w:val="007025E4"/>
    <w:rsid w:val="00733537"/>
    <w:rsid w:val="00737A4D"/>
    <w:rsid w:val="007510F2"/>
    <w:rsid w:val="00752B99"/>
    <w:rsid w:val="00756B8E"/>
    <w:rsid w:val="0077515F"/>
    <w:rsid w:val="007853F7"/>
    <w:rsid w:val="007927F8"/>
    <w:rsid w:val="00795BAE"/>
    <w:rsid w:val="007A02A5"/>
    <w:rsid w:val="007B3A7D"/>
    <w:rsid w:val="007B5B6E"/>
    <w:rsid w:val="007C4F19"/>
    <w:rsid w:val="007D2F16"/>
    <w:rsid w:val="007D30F9"/>
    <w:rsid w:val="00823589"/>
    <w:rsid w:val="0084012A"/>
    <w:rsid w:val="0084431C"/>
    <w:rsid w:val="00857290"/>
    <w:rsid w:val="00857458"/>
    <w:rsid w:val="0086617D"/>
    <w:rsid w:val="00872520"/>
    <w:rsid w:val="0088240E"/>
    <w:rsid w:val="00884A2E"/>
    <w:rsid w:val="00894323"/>
    <w:rsid w:val="008A1FBC"/>
    <w:rsid w:val="008B2E14"/>
    <w:rsid w:val="008B36EA"/>
    <w:rsid w:val="008D4E88"/>
    <w:rsid w:val="008F7795"/>
    <w:rsid w:val="00905063"/>
    <w:rsid w:val="00905B88"/>
    <w:rsid w:val="009431DF"/>
    <w:rsid w:val="00945BE3"/>
    <w:rsid w:val="009635F3"/>
    <w:rsid w:val="00965C62"/>
    <w:rsid w:val="009769F9"/>
    <w:rsid w:val="009A07EE"/>
    <w:rsid w:val="009B4226"/>
    <w:rsid w:val="009C04CF"/>
    <w:rsid w:val="009C5C47"/>
    <w:rsid w:val="009D44C5"/>
    <w:rsid w:val="009E7381"/>
    <w:rsid w:val="00A079EE"/>
    <w:rsid w:val="00A234F2"/>
    <w:rsid w:val="00A24B3A"/>
    <w:rsid w:val="00A3129A"/>
    <w:rsid w:val="00A3268D"/>
    <w:rsid w:val="00A33BCD"/>
    <w:rsid w:val="00A4105C"/>
    <w:rsid w:val="00A44079"/>
    <w:rsid w:val="00A472C9"/>
    <w:rsid w:val="00A500CE"/>
    <w:rsid w:val="00A61000"/>
    <w:rsid w:val="00A7625C"/>
    <w:rsid w:val="00A83A0C"/>
    <w:rsid w:val="00A9534C"/>
    <w:rsid w:val="00AA72F4"/>
    <w:rsid w:val="00AB45ED"/>
    <w:rsid w:val="00AC0AB9"/>
    <w:rsid w:val="00AF3A63"/>
    <w:rsid w:val="00B26A9E"/>
    <w:rsid w:val="00B372F3"/>
    <w:rsid w:val="00B448F4"/>
    <w:rsid w:val="00B636B4"/>
    <w:rsid w:val="00B668A6"/>
    <w:rsid w:val="00BA297C"/>
    <w:rsid w:val="00BB428E"/>
    <w:rsid w:val="00BB4B48"/>
    <w:rsid w:val="00BB6F04"/>
    <w:rsid w:val="00BC3E3B"/>
    <w:rsid w:val="00BC5625"/>
    <w:rsid w:val="00BD53BF"/>
    <w:rsid w:val="00BF47AE"/>
    <w:rsid w:val="00C01419"/>
    <w:rsid w:val="00C029B0"/>
    <w:rsid w:val="00C0439E"/>
    <w:rsid w:val="00C04767"/>
    <w:rsid w:val="00C10D39"/>
    <w:rsid w:val="00C16285"/>
    <w:rsid w:val="00C20C95"/>
    <w:rsid w:val="00C463B8"/>
    <w:rsid w:val="00C5611F"/>
    <w:rsid w:val="00C63FE2"/>
    <w:rsid w:val="00C91BFA"/>
    <w:rsid w:val="00CA6B33"/>
    <w:rsid w:val="00CF46EC"/>
    <w:rsid w:val="00CF6454"/>
    <w:rsid w:val="00CF7905"/>
    <w:rsid w:val="00D0062B"/>
    <w:rsid w:val="00D06AC6"/>
    <w:rsid w:val="00D073FE"/>
    <w:rsid w:val="00D30C0A"/>
    <w:rsid w:val="00D378CF"/>
    <w:rsid w:val="00D604F5"/>
    <w:rsid w:val="00D63162"/>
    <w:rsid w:val="00D810AC"/>
    <w:rsid w:val="00D8135B"/>
    <w:rsid w:val="00D83FF1"/>
    <w:rsid w:val="00D86EB3"/>
    <w:rsid w:val="00DA6CDC"/>
    <w:rsid w:val="00DB3389"/>
    <w:rsid w:val="00DF2A7D"/>
    <w:rsid w:val="00DF7B14"/>
    <w:rsid w:val="00E42269"/>
    <w:rsid w:val="00E55DB1"/>
    <w:rsid w:val="00E62F42"/>
    <w:rsid w:val="00E63FC4"/>
    <w:rsid w:val="00E759E3"/>
    <w:rsid w:val="00E91452"/>
    <w:rsid w:val="00E975D2"/>
    <w:rsid w:val="00EB0EC7"/>
    <w:rsid w:val="00ED266A"/>
    <w:rsid w:val="00EE54D5"/>
    <w:rsid w:val="00F20979"/>
    <w:rsid w:val="00F40F10"/>
    <w:rsid w:val="00F4618B"/>
    <w:rsid w:val="00F47575"/>
    <w:rsid w:val="00F514FE"/>
    <w:rsid w:val="00F7411C"/>
    <w:rsid w:val="00F7514A"/>
    <w:rsid w:val="00F82E52"/>
    <w:rsid w:val="00F85D01"/>
    <w:rsid w:val="00F9485E"/>
    <w:rsid w:val="00FA2742"/>
    <w:rsid w:val="00FB0218"/>
    <w:rsid w:val="00FD000D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C4FBA"/>
  <w15:docId w15:val="{276CAD22-9C66-4428-9620-8DC9DD4A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qFormat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4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454"/>
    <w:rPr>
      <w:rFonts w:ascii="Epilogue" w:hAnsi="Epilogue"/>
      <w:color w:val="0C0C0C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454"/>
    <w:rPr>
      <w:rFonts w:ascii="Epilogue" w:hAnsi="Epilogue"/>
      <w:b/>
      <w:bCs/>
      <w:color w:val="0C0C0C" w:themeColor="text1"/>
      <w:sz w:val="20"/>
      <w:szCs w:val="20"/>
    </w:rPr>
  </w:style>
  <w:style w:type="paragraph" w:styleId="Revision">
    <w:name w:val="Revision"/>
    <w:hidden/>
    <w:uiPriority w:val="99"/>
    <w:semiHidden/>
    <w:rsid w:val="00C5611F"/>
    <w:pPr>
      <w:spacing w:after="0" w:line="240" w:lineRule="auto"/>
    </w:pPr>
    <w:rPr>
      <w:rFonts w:ascii="Epilogue" w:hAnsi="Epilogue"/>
      <w:color w:val="0C0C0C" w:themeColor="text1"/>
      <w:sz w:val="20"/>
    </w:rPr>
  </w:style>
  <w:style w:type="table" w:styleId="GridTable1Light-Accent1">
    <w:name w:val="Grid Table 1 Light Accent 1"/>
    <w:basedOn w:val="TableNormal"/>
    <w:uiPriority w:val="46"/>
    <w:rsid w:val="00D0062B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FEBA99" w:themeColor="accent1" w:themeTint="66"/>
        <w:left w:val="single" w:sz="4" w:space="0" w:color="FEBA99" w:themeColor="accent1" w:themeTint="66"/>
        <w:bottom w:val="single" w:sz="4" w:space="0" w:color="FEBA99" w:themeColor="accent1" w:themeTint="66"/>
        <w:right w:val="single" w:sz="4" w:space="0" w:color="FEBA99" w:themeColor="accent1" w:themeTint="66"/>
        <w:insideH w:val="single" w:sz="4" w:space="0" w:color="FEBA99" w:themeColor="accent1" w:themeTint="66"/>
        <w:insideV w:val="single" w:sz="4" w:space="0" w:color="FEBA99" w:themeColor="accent1" w:themeTint="6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8D56A522C5403B8E66DDE3A62BD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03E02-F95B-441B-91F1-564D578ADB05}"/>
      </w:docPartPr>
      <w:docPartBody>
        <w:p w:rsidR="007E0956" w:rsidRDefault="00A9173B">
          <w:pPr>
            <w:pStyle w:val="738D56A522C5403B8E66DDE3A62BD251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67CBF7E244AEAB18CFE96242B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3A9D3-92B7-4C79-81EB-F7AD367BC3CC}"/>
      </w:docPartPr>
      <w:docPartBody>
        <w:p w:rsidR="007E0956" w:rsidRDefault="00A9173B">
          <w:pPr>
            <w:pStyle w:val="AED67CBF7E244AEAB18CFE96242BAE78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2C"/>
    <w:rsid w:val="000264AD"/>
    <w:rsid w:val="002129BF"/>
    <w:rsid w:val="0023139B"/>
    <w:rsid w:val="0025240A"/>
    <w:rsid w:val="002B26A8"/>
    <w:rsid w:val="002F3F99"/>
    <w:rsid w:val="0033330C"/>
    <w:rsid w:val="00334D22"/>
    <w:rsid w:val="003B68F0"/>
    <w:rsid w:val="004425A7"/>
    <w:rsid w:val="00452565"/>
    <w:rsid w:val="00506F62"/>
    <w:rsid w:val="00571A2A"/>
    <w:rsid w:val="005F6FBC"/>
    <w:rsid w:val="00601EC3"/>
    <w:rsid w:val="0062463D"/>
    <w:rsid w:val="00634914"/>
    <w:rsid w:val="006351D5"/>
    <w:rsid w:val="00636155"/>
    <w:rsid w:val="00644847"/>
    <w:rsid w:val="00676E12"/>
    <w:rsid w:val="00733537"/>
    <w:rsid w:val="00752B99"/>
    <w:rsid w:val="007E0956"/>
    <w:rsid w:val="0080222C"/>
    <w:rsid w:val="008F7795"/>
    <w:rsid w:val="009854F2"/>
    <w:rsid w:val="009C5C47"/>
    <w:rsid w:val="00A64893"/>
    <w:rsid w:val="00A9173B"/>
    <w:rsid w:val="00B05CD8"/>
    <w:rsid w:val="00B0680B"/>
    <w:rsid w:val="00BA6D3A"/>
    <w:rsid w:val="00BE05CB"/>
    <w:rsid w:val="00C20C95"/>
    <w:rsid w:val="00D41B2F"/>
    <w:rsid w:val="00D8135B"/>
    <w:rsid w:val="00D86EB3"/>
    <w:rsid w:val="00E1068D"/>
    <w:rsid w:val="00F7514A"/>
    <w:rsid w:val="00F8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173B"/>
    <w:rPr>
      <w:color w:val="808080"/>
    </w:rPr>
  </w:style>
  <w:style w:type="paragraph" w:customStyle="1" w:styleId="738D56A522C5403B8E66DDE3A62BD251">
    <w:name w:val="738D56A522C5403B8E66DDE3A62BD251"/>
  </w:style>
  <w:style w:type="paragraph" w:customStyle="1" w:styleId="AED67CBF7E244AEAB18CFE96242BAE78">
    <w:name w:val="AED67CBF7E244AEAB18CFE96242BAE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3</TotalTime>
  <Pages>3</Pages>
  <Words>876</Words>
  <Characters>5394</Characters>
  <Application>Microsoft Office Word</Application>
  <DocSecurity>0</DocSecurity>
  <Lines>119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FM106 R1</vt:lpstr>
    </vt:vector>
  </TitlesOfParts>
  <Company>HR Wallingford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Andrew J. Brown</dc:creator>
  <dc:description>Document last saved:_x000d_
User: hls (EINICH)_x000d_
When: Wed 15 February 2023 10:19</dc:description>
  <cp:lastModifiedBy>Sharon Draper</cp:lastModifiedBy>
  <cp:revision>2</cp:revision>
  <cp:lastPrinted>2016-09-12T14:00:00Z</cp:lastPrinted>
  <dcterms:created xsi:type="dcterms:W3CDTF">2026-06-09T15:35:00Z</dcterms:created>
  <dcterms:modified xsi:type="dcterms:W3CDTF">2026-06-09T15:35:00Z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ef6c2801-2f81-4d71-940d-852e5f5671a7</vt:lpwstr>
  </property>
</Properties>
</file>