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606D" w14:textId="01AE50C8" w:rsidR="00CA6B33" w:rsidRDefault="00764959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50885610EDE14275834541071CC3DC19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62F8C581BCDB465198459C75C26C54F8"/>
          </w:placeholder>
        </w:sdtPr>
        <w:sdtEndPr/>
        <w:sdtContent>
          <w:r w:rsidR="00B71EBE">
            <w:t>Senior Electrical Engineer</w:t>
          </w:r>
        </w:sdtContent>
      </w:sdt>
    </w:p>
    <w:p w14:paraId="429F0373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5BAB2D4E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6954220D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0900F653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17B27847" w14:textId="77777777" w:rsidR="00737486" w:rsidRDefault="00737486" w:rsidP="00737486"/>
          <w:p w14:paraId="55B46453" w14:textId="77777777" w:rsidR="00B008BE" w:rsidRDefault="00B008BE" w:rsidP="00B008BE">
            <w:r w:rsidRPr="000720FE">
              <w:t xml:space="preserve">This full lifecycle </w:t>
            </w:r>
            <w:r>
              <w:t xml:space="preserve">electrical </w:t>
            </w:r>
            <w:r w:rsidRPr="000720FE">
              <w:t xml:space="preserve">engineering role </w:t>
            </w:r>
            <w:r>
              <w:t>requires</w:t>
            </w:r>
            <w:r w:rsidRPr="000720FE">
              <w:t xml:space="preserve"> an excellent grasp of engineering fundamentals</w:t>
            </w:r>
            <w:r>
              <w:t>,</w:t>
            </w:r>
            <w:r w:rsidRPr="000720FE">
              <w:t xml:space="preserve"> manufacture, </w:t>
            </w:r>
            <w:r>
              <w:t>installation, commissioning and maintenance</w:t>
            </w:r>
            <w:r w:rsidRPr="000720FE">
              <w:t>.</w:t>
            </w:r>
          </w:p>
          <w:p w14:paraId="04799ED2" w14:textId="77777777" w:rsidR="00B008BE" w:rsidRPr="000720FE" w:rsidRDefault="00B008BE" w:rsidP="00B008BE"/>
          <w:p w14:paraId="70C8D202" w14:textId="0A32BA7D" w:rsidR="00737486" w:rsidRDefault="00B008BE" w:rsidP="00737486">
            <w:r w:rsidRPr="000720FE">
              <w:t xml:space="preserve">The role </w:t>
            </w:r>
            <w:r>
              <w:t xml:space="preserve">encompasses </w:t>
            </w:r>
            <w:r w:rsidRPr="00766260">
              <w:t xml:space="preserve">the development of new </w:t>
            </w:r>
            <w:r>
              <w:t xml:space="preserve">and existing </w:t>
            </w:r>
            <w:r w:rsidRPr="00766260">
              <w:t>electrical equipment, methods and technology</w:t>
            </w:r>
            <w:r>
              <w:t xml:space="preserve">.  It </w:t>
            </w:r>
            <w:r w:rsidRPr="000720FE">
              <w:t>includes opportunities for testing, prototyping and overseeing the installation and commissioning of equipment, which require</w:t>
            </w:r>
            <w:r>
              <w:t>s</w:t>
            </w:r>
            <w:r w:rsidRPr="000720FE">
              <w:t xml:space="preserve"> a hands-on approach.</w:t>
            </w:r>
          </w:p>
          <w:p w14:paraId="4F0B8BD9" w14:textId="0BFE836C" w:rsidR="002B7EDD" w:rsidRPr="002B7EDD" w:rsidRDefault="002B7EDD" w:rsidP="00737486">
            <w:pPr>
              <w:pStyle w:val="Bullet1"/>
              <w:numPr>
                <w:ilvl w:val="0"/>
                <w:numId w:val="0"/>
              </w:numPr>
              <w:ind w:left="340" w:hanging="340"/>
            </w:pPr>
          </w:p>
        </w:tc>
      </w:tr>
    </w:tbl>
    <w:p w14:paraId="04F6969D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323702AC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02FCAAF4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5F656B0B" w14:textId="77777777" w:rsidTr="00332DFF">
        <w:tc>
          <w:tcPr>
            <w:tcW w:w="9854" w:type="dxa"/>
          </w:tcPr>
          <w:p w14:paraId="297052BF" w14:textId="77777777" w:rsidR="00087042" w:rsidRDefault="00087042" w:rsidP="00087042">
            <w:pPr>
              <w:pStyle w:val="Bullet1"/>
            </w:pPr>
            <w:r w:rsidRPr="00766260">
              <w:t>Participate in electrical design and development activitie</w:t>
            </w:r>
            <w:r>
              <w:t>s;</w:t>
            </w:r>
          </w:p>
          <w:p w14:paraId="62B62B6B" w14:textId="77777777" w:rsidR="00087042" w:rsidRDefault="00087042" w:rsidP="00087042">
            <w:pPr>
              <w:pStyle w:val="Bullet1"/>
            </w:pPr>
            <w:r w:rsidRPr="00087042">
              <w:t>Provide designs utilising single through to three phase high power (mains voltage, high current) electrical distribution and switching;</w:t>
            </w:r>
          </w:p>
          <w:p w14:paraId="56680C99" w14:textId="77777777" w:rsidR="00087042" w:rsidRDefault="00087042" w:rsidP="00087042">
            <w:pPr>
              <w:pStyle w:val="Bullet1"/>
            </w:pPr>
            <w:r w:rsidRPr="00087042">
              <w:t>Review and apply relevant design standards or associated legislation;</w:t>
            </w:r>
          </w:p>
          <w:p w14:paraId="06BD1BB8" w14:textId="77777777" w:rsidR="00087042" w:rsidRDefault="00087042" w:rsidP="00087042">
            <w:pPr>
              <w:pStyle w:val="Bullet1"/>
            </w:pPr>
            <w:r w:rsidRPr="00087042">
              <w:t>Create/modify electrical CAD schematics for manufacture and reference;</w:t>
            </w:r>
          </w:p>
          <w:p w14:paraId="2627E873" w14:textId="77777777" w:rsidR="00087042" w:rsidRDefault="00087042" w:rsidP="00087042">
            <w:pPr>
              <w:pStyle w:val="Bullet1"/>
            </w:pPr>
            <w:r w:rsidRPr="00087042">
              <w:t>Support the development, testing and verification of concepts/designs for projects;</w:t>
            </w:r>
          </w:p>
          <w:p w14:paraId="035BC4CC" w14:textId="77777777" w:rsidR="00087042" w:rsidRDefault="00087042" w:rsidP="00087042">
            <w:pPr>
              <w:pStyle w:val="Bullet1"/>
            </w:pPr>
            <w:r w:rsidRPr="00087042">
              <w:t>Produce and review technical reports, specifications and other documentation;</w:t>
            </w:r>
          </w:p>
          <w:p w14:paraId="7ED29D35" w14:textId="77777777" w:rsidR="00087042" w:rsidRDefault="00087042" w:rsidP="00087042">
            <w:pPr>
              <w:pStyle w:val="Bullet1"/>
            </w:pPr>
            <w:r w:rsidRPr="00087042">
              <w:t>Participate in design reviews and research programmes to achieve improved standardisation, functionality, reliability, and manufacturability;</w:t>
            </w:r>
          </w:p>
          <w:p w14:paraId="47AE9480" w14:textId="77777777" w:rsidR="00087042" w:rsidRDefault="00087042" w:rsidP="00087042">
            <w:pPr>
              <w:pStyle w:val="Bullet1"/>
            </w:pPr>
            <w:r w:rsidRPr="00087042">
              <w:t>Participate in testing, installation and commissioning, this may require travel in the UK or overseas;</w:t>
            </w:r>
          </w:p>
          <w:p w14:paraId="328A7E04" w14:textId="77777777" w:rsidR="00087042" w:rsidRDefault="00087042" w:rsidP="00087042">
            <w:pPr>
              <w:pStyle w:val="Bullet1"/>
            </w:pPr>
            <w:r w:rsidRPr="00087042">
              <w:t>Work with suppliers of electrical components and systems;</w:t>
            </w:r>
          </w:p>
          <w:p w14:paraId="308028FA" w14:textId="77777777" w:rsidR="00087042" w:rsidRDefault="00087042" w:rsidP="00087042">
            <w:pPr>
              <w:pStyle w:val="Bullet1"/>
            </w:pPr>
            <w:r w:rsidRPr="00087042">
              <w:t>Communicate and collaborate with mechanical/software engineers, project directors/managers, and other team members;</w:t>
            </w:r>
          </w:p>
          <w:p w14:paraId="07BBAD6C" w14:textId="77777777" w:rsidR="00087042" w:rsidRDefault="00087042" w:rsidP="00087042">
            <w:pPr>
              <w:pStyle w:val="Bullet1"/>
            </w:pPr>
            <w:r w:rsidRPr="00087042">
              <w:t>Provide customer support and internal feedback for products in the field;</w:t>
            </w:r>
          </w:p>
          <w:p w14:paraId="25D92C99" w14:textId="77777777" w:rsidR="00087042" w:rsidRDefault="00087042" w:rsidP="00087042">
            <w:pPr>
              <w:pStyle w:val="Bullet1"/>
            </w:pPr>
            <w:r w:rsidRPr="00087042">
              <w:t>Support the Business Development team with bidding preparation;</w:t>
            </w:r>
          </w:p>
          <w:p w14:paraId="27CA8C4B" w14:textId="77777777" w:rsidR="00087042" w:rsidRDefault="00087042" w:rsidP="00087042">
            <w:pPr>
              <w:pStyle w:val="Bullet1"/>
            </w:pPr>
            <w:r w:rsidRPr="00087042">
              <w:t>Provide technical guidance and mentoring for other staff;</w:t>
            </w:r>
          </w:p>
          <w:p w14:paraId="2BAB91B3" w14:textId="303CCE7E" w:rsidR="00087042" w:rsidRPr="00087042" w:rsidRDefault="00087042" w:rsidP="00087042">
            <w:pPr>
              <w:pStyle w:val="Bullet1"/>
            </w:pPr>
            <w:r w:rsidRPr="00087042">
              <w:t>Identify personal training and resource requirements.</w:t>
            </w:r>
          </w:p>
          <w:p w14:paraId="3B2A4352" w14:textId="34BCFF4E" w:rsidR="002B7EDD" w:rsidRPr="0061426D" w:rsidRDefault="002B7EDD" w:rsidP="00737486">
            <w:pPr>
              <w:pStyle w:val="Bullet1"/>
              <w:numPr>
                <w:ilvl w:val="0"/>
                <w:numId w:val="0"/>
              </w:numPr>
              <w:ind w:left="340" w:hanging="340"/>
            </w:pPr>
          </w:p>
        </w:tc>
      </w:tr>
    </w:tbl>
    <w:p w14:paraId="50C85F0F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30753664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31F3A907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6BA83E91" w14:textId="65285EA4" w:rsidR="00D810AC" w:rsidRPr="00C04767" w:rsidRDefault="00737486" w:rsidP="007927F8">
            <w:r>
              <w:t>Equipment and Technology</w:t>
            </w:r>
          </w:p>
        </w:tc>
      </w:tr>
      <w:tr w:rsidR="00D810AC" w:rsidRPr="00C04767" w14:paraId="0924D580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BB45B98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712A91B6" w14:textId="237A945B" w:rsidR="00D810AC" w:rsidRPr="00C04767" w:rsidRDefault="00737486" w:rsidP="007927F8">
            <w:r>
              <w:t>Engineering Manager</w:t>
            </w:r>
          </w:p>
        </w:tc>
      </w:tr>
      <w:tr w:rsidR="00D810AC" w:rsidRPr="00C04767" w14:paraId="1435C565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51F5601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7E3361A4" w14:textId="75FA051C" w:rsidR="00D810AC" w:rsidRDefault="00737486" w:rsidP="007927F8">
            <w:r>
              <w:t>To be confirmed</w:t>
            </w:r>
          </w:p>
        </w:tc>
      </w:tr>
      <w:tr w:rsidR="00D810AC" w:rsidRPr="00C04767" w14:paraId="34255AB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DE26E0F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22A52266" w14:textId="2B227D07" w:rsidR="00D810AC" w:rsidRDefault="00737486" w:rsidP="007927F8">
            <w:r>
              <w:t>28</w:t>
            </w:r>
            <w:r w:rsidRPr="00737486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181669D7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BCC" w14:textId="77777777" w:rsidR="00764959" w:rsidRDefault="00764959" w:rsidP="00700852">
      <w:pPr>
        <w:spacing w:line="240" w:lineRule="auto"/>
      </w:pPr>
      <w:r>
        <w:separator/>
      </w:r>
    </w:p>
  </w:endnote>
  <w:endnote w:type="continuationSeparator" w:id="0">
    <w:p w14:paraId="734D3697" w14:textId="77777777" w:rsidR="00764959" w:rsidRDefault="00764959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7C27CF9C" w14:textId="77777777" w:rsidTr="00E906E1">
      <w:tc>
        <w:tcPr>
          <w:tcW w:w="4927" w:type="dxa"/>
        </w:tcPr>
        <w:p w14:paraId="62378395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06BFCF03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07755E71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CB4B8F1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E54A09D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E9B4" w14:textId="77777777" w:rsidR="00764959" w:rsidRDefault="00764959" w:rsidP="00700852">
      <w:pPr>
        <w:spacing w:line="240" w:lineRule="auto"/>
      </w:pPr>
      <w:r>
        <w:separator/>
      </w:r>
    </w:p>
  </w:footnote>
  <w:footnote w:type="continuationSeparator" w:id="0">
    <w:p w14:paraId="229AABD7" w14:textId="77777777" w:rsidR="00764959" w:rsidRDefault="00764959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63982CC3" w14:textId="77777777" w:rsidTr="00A61000">
      <w:tc>
        <w:tcPr>
          <w:tcW w:w="1985" w:type="dxa"/>
          <w:vAlign w:val="bottom"/>
        </w:tcPr>
        <w:p w14:paraId="15212E76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0885610EDE14275834541071CC3DC19"/>
          </w:placeholder>
        </w:sdtPr>
        <w:sdtEndPr/>
        <w:sdtContent>
          <w:tc>
            <w:tcPr>
              <w:tcW w:w="7654" w:type="dxa"/>
              <w:vAlign w:val="center"/>
            </w:tcPr>
            <w:p w14:paraId="35003258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5FFA2A07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8" w15:restartNumberingAfterBreak="0">
    <w:nsid w:val="799111F8"/>
    <w:multiLevelType w:val="hybridMultilevel"/>
    <w:tmpl w:val="748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506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BE"/>
    <w:rsid w:val="000423F2"/>
    <w:rsid w:val="00065A39"/>
    <w:rsid w:val="00087042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05FD2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486"/>
    <w:rsid w:val="00737A4D"/>
    <w:rsid w:val="007510F2"/>
    <w:rsid w:val="00756B8E"/>
    <w:rsid w:val="00764959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37EBF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115D"/>
    <w:rsid w:val="00A7625C"/>
    <w:rsid w:val="00AA72F4"/>
    <w:rsid w:val="00AC0AB9"/>
    <w:rsid w:val="00B008BE"/>
    <w:rsid w:val="00B26A9E"/>
    <w:rsid w:val="00B372F3"/>
    <w:rsid w:val="00B636B4"/>
    <w:rsid w:val="00B71EBE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B7D81"/>
  <w15:docId w15:val="{A79ABD34-CD5C-4AD1-9A28-CC7C869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885610EDE14275834541071CC3D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8A23-BFBB-437E-AABA-EED36F116B6B}"/>
      </w:docPartPr>
      <w:docPartBody>
        <w:p w:rsidR="00D056E7" w:rsidRDefault="00D056E7">
          <w:pPr>
            <w:pStyle w:val="50885610EDE14275834541071CC3DC1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C581BCDB465198459C75C26C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311F-940E-45B7-8F22-13FB418AAC73}"/>
      </w:docPartPr>
      <w:docPartBody>
        <w:p w:rsidR="00D056E7" w:rsidRDefault="00D056E7">
          <w:pPr>
            <w:pStyle w:val="62F8C581BCDB465198459C75C26C54F8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E7"/>
    <w:rsid w:val="00251B9A"/>
    <w:rsid w:val="00505FD2"/>
    <w:rsid w:val="00937EBF"/>
    <w:rsid w:val="00D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0885610EDE14275834541071CC3DC19">
    <w:name w:val="50885610EDE14275834541071CC3DC19"/>
  </w:style>
  <w:style w:type="paragraph" w:customStyle="1" w:styleId="62F8C581BCDB465198459C75C26C54F8">
    <w:name w:val="62F8C581BCDB465198459C75C26C5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4</TotalTime>
  <Pages>1</Pages>
  <Words>224</Words>
  <Characters>1566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4</cp:revision>
  <cp:lastPrinted>2016-09-12T14:00:00Z</cp:lastPrinted>
  <dcterms:created xsi:type="dcterms:W3CDTF">2026-06-03T15:15:00Z</dcterms:created>
  <dcterms:modified xsi:type="dcterms:W3CDTF">2026-06-04T15:45:00Z</dcterms:modified>
</cp:coreProperties>
</file>